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8DDA6" w14:textId="2B8087AE" w:rsidR="00D505C0" w:rsidRDefault="00D505C0"/>
    <w:p w14:paraId="7CE1F6D9" w14:textId="43E9C247" w:rsidR="00D505C0" w:rsidRPr="00F92156" w:rsidRDefault="00F92156" w:rsidP="00F92156">
      <w:pPr>
        <w:jc w:val="both"/>
        <w:rPr>
          <w:rFonts w:ascii="Times New Roman" w:hAnsi="Times New Roman" w:cs="Times New Roman"/>
          <w:sz w:val="24"/>
          <w:szCs w:val="24"/>
        </w:rPr>
      </w:pPr>
      <w:r w:rsidRPr="00F92156">
        <w:rPr>
          <w:rFonts w:ascii="Times New Roman" w:hAnsi="Times New Roman" w:cs="Times New Roman"/>
          <w:sz w:val="24"/>
          <w:szCs w:val="24"/>
        </w:rPr>
        <w:fldChar w:fldCharType="begin"/>
      </w:r>
      <w:r w:rsidRPr="00F92156">
        <w:rPr>
          <w:rFonts w:ascii="Times New Roman" w:hAnsi="Times New Roman" w:cs="Times New Roman"/>
          <w:sz w:val="24"/>
          <w:szCs w:val="24"/>
        </w:rPr>
        <w:instrText xml:space="preserve"> DATE \@ "MMMM d, yyyy" </w:instrText>
      </w:r>
      <w:r w:rsidRPr="00F92156">
        <w:rPr>
          <w:rFonts w:ascii="Times New Roman" w:hAnsi="Times New Roman" w:cs="Times New Roman"/>
          <w:sz w:val="24"/>
          <w:szCs w:val="24"/>
        </w:rPr>
        <w:fldChar w:fldCharType="separate"/>
      </w:r>
      <w:r w:rsidR="00F41D3F">
        <w:rPr>
          <w:rFonts w:ascii="Times New Roman" w:hAnsi="Times New Roman" w:cs="Times New Roman"/>
          <w:noProof/>
          <w:sz w:val="24"/>
          <w:szCs w:val="24"/>
        </w:rPr>
        <w:t>September 22, 2022</w:t>
      </w:r>
      <w:r w:rsidRPr="00F92156">
        <w:rPr>
          <w:rFonts w:ascii="Times New Roman" w:hAnsi="Times New Roman" w:cs="Times New Roman"/>
          <w:sz w:val="24"/>
          <w:szCs w:val="24"/>
        </w:rPr>
        <w:fldChar w:fldCharType="end"/>
      </w:r>
    </w:p>
    <w:p w14:paraId="69D00CEE" w14:textId="77777777" w:rsidR="00F92156" w:rsidRPr="00F92156" w:rsidRDefault="00F92156" w:rsidP="00F92156">
      <w:pPr>
        <w:pStyle w:val="NoSpacing"/>
        <w:jc w:val="both"/>
        <w:rPr>
          <w:rFonts w:ascii="Times New Roman" w:hAnsi="Times New Roman" w:cs="Times New Roman"/>
          <w:sz w:val="24"/>
          <w:szCs w:val="24"/>
        </w:rPr>
      </w:pPr>
    </w:p>
    <w:p w14:paraId="412128A9" w14:textId="77777777" w:rsidR="00F41D3F" w:rsidRDefault="00F41D3F" w:rsidP="00AD5A7D">
      <w:pPr>
        <w:pStyle w:val="NoSpacing"/>
        <w:jc w:val="both"/>
        <w:rPr>
          <w:rFonts w:ascii="Times New Roman" w:hAnsi="Times New Roman" w:cs="Times New Roman"/>
          <w:sz w:val="24"/>
          <w:szCs w:val="24"/>
        </w:rPr>
      </w:pPr>
      <w:r>
        <w:rPr>
          <w:rFonts w:ascii="Times New Roman" w:hAnsi="Times New Roman" w:cs="Times New Roman"/>
          <w:sz w:val="24"/>
          <w:szCs w:val="24"/>
        </w:rPr>
        <w:t>The Honorable Gavin Newsom</w:t>
      </w:r>
    </w:p>
    <w:p w14:paraId="5CD6EFEA" w14:textId="3021AF3E" w:rsidR="007E0C8D" w:rsidRDefault="00F41D3F" w:rsidP="00AD5A7D">
      <w:pPr>
        <w:pStyle w:val="NoSpacing"/>
        <w:jc w:val="both"/>
        <w:rPr>
          <w:rFonts w:ascii="Times New Roman" w:hAnsi="Times New Roman" w:cs="Times New Roman"/>
          <w:sz w:val="24"/>
          <w:szCs w:val="24"/>
        </w:rPr>
      </w:pPr>
      <w:r>
        <w:rPr>
          <w:rFonts w:ascii="Times New Roman" w:hAnsi="Times New Roman" w:cs="Times New Roman"/>
          <w:sz w:val="24"/>
          <w:szCs w:val="24"/>
        </w:rPr>
        <w:t>Governor</w:t>
      </w:r>
    </w:p>
    <w:p w14:paraId="357D484D" w14:textId="667B1EA7" w:rsidR="00AD5A7D" w:rsidRDefault="00F41D3F" w:rsidP="00AD5A7D">
      <w:pPr>
        <w:pStyle w:val="NoSpacing"/>
        <w:jc w:val="both"/>
        <w:rPr>
          <w:rFonts w:ascii="Times New Roman" w:hAnsi="Times New Roman" w:cs="Times New Roman"/>
          <w:sz w:val="24"/>
          <w:szCs w:val="24"/>
        </w:rPr>
      </w:pPr>
      <w:r>
        <w:rPr>
          <w:rFonts w:ascii="Times New Roman" w:hAnsi="Times New Roman" w:cs="Times New Roman"/>
          <w:sz w:val="24"/>
          <w:szCs w:val="24"/>
        </w:rPr>
        <w:t>State of California</w:t>
      </w:r>
    </w:p>
    <w:p w14:paraId="74EF9CCF" w14:textId="519824C4" w:rsidR="00AD5A7D" w:rsidRPr="00AD5A7D" w:rsidRDefault="00F41D3F" w:rsidP="00AD5A7D">
      <w:pPr>
        <w:pStyle w:val="NoSpacing"/>
        <w:jc w:val="both"/>
        <w:rPr>
          <w:rFonts w:ascii="Times New Roman" w:hAnsi="Times New Roman" w:cs="Times New Roman"/>
          <w:sz w:val="24"/>
          <w:szCs w:val="24"/>
        </w:rPr>
      </w:pPr>
      <w:r>
        <w:rPr>
          <w:rFonts w:ascii="Times New Roman" w:hAnsi="Times New Roman" w:cs="Times New Roman"/>
          <w:sz w:val="24"/>
          <w:szCs w:val="24"/>
        </w:rPr>
        <w:t>1021 O Street, Suite 9000</w:t>
      </w:r>
    </w:p>
    <w:p w14:paraId="54D869DA" w14:textId="76DDF077" w:rsidR="00F92156" w:rsidRPr="00F92156" w:rsidRDefault="00AD5A7D" w:rsidP="00AD5A7D">
      <w:pPr>
        <w:pStyle w:val="NoSpacing"/>
        <w:jc w:val="both"/>
        <w:rPr>
          <w:rFonts w:ascii="Times New Roman" w:hAnsi="Times New Roman" w:cs="Times New Roman"/>
          <w:sz w:val="24"/>
          <w:szCs w:val="24"/>
        </w:rPr>
      </w:pPr>
      <w:r w:rsidRPr="00AD5A7D">
        <w:rPr>
          <w:rFonts w:ascii="Times New Roman" w:hAnsi="Times New Roman" w:cs="Times New Roman"/>
          <w:sz w:val="24"/>
          <w:szCs w:val="24"/>
        </w:rPr>
        <w:t>Sacramento, CA 958</w:t>
      </w:r>
      <w:r w:rsidR="00F41D3F">
        <w:rPr>
          <w:rFonts w:ascii="Times New Roman" w:hAnsi="Times New Roman" w:cs="Times New Roman"/>
          <w:sz w:val="24"/>
          <w:szCs w:val="24"/>
        </w:rPr>
        <w:t>14</w:t>
      </w:r>
    </w:p>
    <w:p w14:paraId="7A684309" w14:textId="77777777" w:rsidR="00F92156" w:rsidRPr="00F92156" w:rsidRDefault="00F92156" w:rsidP="00F92156">
      <w:pPr>
        <w:pStyle w:val="NoSpacing"/>
        <w:jc w:val="both"/>
        <w:rPr>
          <w:rFonts w:ascii="Times New Roman" w:hAnsi="Times New Roman" w:cs="Times New Roman"/>
          <w:sz w:val="24"/>
          <w:szCs w:val="24"/>
        </w:rPr>
      </w:pPr>
    </w:p>
    <w:p w14:paraId="23ED178D" w14:textId="0CF8DDC3" w:rsidR="00F92156" w:rsidRPr="00F92156" w:rsidRDefault="00F92156" w:rsidP="004558A6">
      <w:pPr>
        <w:pStyle w:val="NoSpacing"/>
        <w:ind w:left="720" w:hanging="720"/>
        <w:jc w:val="both"/>
        <w:rPr>
          <w:rFonts w:ascii="Times New Roman" w:hAnsi="Times New Roman" w:cs="Times New Roman"/>
          <w:sz w:val="24"/>
          <w:szCs w:val="24"/>
        </w:rPr>
      </w:pPr>
      <w:r w:rsidRPr="00F92156">
        <w:rPr>
          <w:rFonts w:ascii="Times New Roman" w:hAnsi="Times New Roman" w:cs="Times New Roman"/>
          <w:sz w:val="24"/>
          <w:szCs w:val="24"/>
        </w:rPr>
        <w:t xml:space="preserve">Re: AB 1341—An act to </w:t>
      </w:r>
      <w:r w:rsidR="004558A6">
        <w:rPr>
          <w:rFonts w:ascii="Times New Roman" w:hAnsi="Times New Roman" w:cs="Times New Roman"/>
          <w:sz w:val="24"/>
          <w:szCs w:val="24"/>
        </w:rPr>
        <w:t>add Section 110423.7 to the Health and Safety Code, relating to public health</w:t>
      </w:r>
    </w:p>
    <w:p w14:paraId="6EE7FB96" w14:textId="77777777" w:rsidR="00F92156" w:rsidRPr="00F92156" w:rsidRDefault="00F92156" w:rsidP="00F92156">
      <w:pPr>
        <w:pStyle w:val="NoSpacing"/>
        <w:jc w:val="both"/>
        <w:rPr>
          <w:rFonts w:ascii="Times New Roman" w:hAnsi="Times New Roman" w:cs="Times New Roman"/>
          <w:sz w:val="24"/>
          <w:szCs w:val="24"/>
        </w:rPr>
      </w:pPr>
    </w:p>
    <w:p w14:paraId="25AE49FB" w14:textId="3BCC4D4B"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Dear </w:t>
      </w:r>
      <w:r w:rsidR="005762E7">
        <w:rPr>
          <w:rFonts w:ascii="Times New Roman" w:hAnsi="Times New Roman" w:cs="Times New Roman"/>
          <w:sz w:val="24"/>
          <w:szCs w:val="24"/>
        </w:rPr>
        <w:t>Governor Newsom</w:t>
      </w:r>
      <w:r w:rsidRPr="00F92156">
        <w:rPr>
          <w:rFonts w:ascii="Times New Roman" w:hAnsi="Times New Roman" w:cs="Times New Roman"/>
          <w:sz w:val="24"/>
          <w:szCs w:val="24"/>
        </w:rPr>
        <w:t>,</w:t>
      </w:r>
    </w:p>
    <w:p w14:paraId="1E4F0ED7" w14:textId="59F90627" w:rsidR="00D505C0" w:rsidRPr="00F92156" w:rsidRDefault="00D505C0" w:rsidP="00F92156">
      <w:pPr>
        <w:pStyle w:val="NoSpacing"/>
        <w:jc w:val="both"/>
        <w:rPr>
          <w:rFonts w:ascii="Times New Roman" w:hAnsi="Times New Roman" w:cs="Times New Roman"/>
          <w:sz w:val="24"/>
          <w:szCs w:val="24"/>
        </w:rPr>
      </w:pPr>
    </w:p>
    <w:p w14:paraId="3444C7E1" w14:textId="4BA97249" w:rsidR="00D505C0" w:rsidRPr="00F92156" w:rsidRDefault="004558A6" w:rsidP="00F92156">
      <w:pPr>
        <w:pStyle w:val="NoSpacing"/>
        <w:jc w:val="both"/>
        <w:rPr>
          <w:rFonts w:ascii="Times New Roman" w:hAnsi="Times New Roman" w:cs="Times New Roman"/>
          <w:sz w:val="24"/>
          <w:szCs w:val="24"/>
        </w:rPr>
      </w:pPr>
      <w:r>
        <w:rPr>
          <w:rStyle w:val="s2"/>
          <w:rFonts w:ascii="Times New Roman" w:hAnsi="Times New Roman" w:cs="Times New Roman"/>
          <w:sz w:val="24"/>
          <w:szCs w:val="24"/>
        </w:rPr>
        <w:t xml:space="preserve">We write in connection with AB 1341, which passed both houses of the California legislature and is </w:t>
      </w:r>
      <w:r w:rsidR="005762E7">
        <w:rPr>
          <w:rStyle w:val="s2"/>
          <w:rFonts w:ascii="Times New Roman" w:hAnsi="Times New Roman" w:cs="Times New Roman"/>
          <w:sz w:val="24"/>
          <w:szCs w:val="24"/>
        </w:rPr>
        <w:t>on your desk</w:t>
      </w:r>
      <w:r>
        <w:rPr>
          <w:rStyle w:val="s2"/>
          <w:rFonts w:ascii="Times New Roman" w:hAnsi="Times New Roman" w:cs="Times New Roman"/>
          <w:sz w:val="24"/>
          <w:szCs w:val="24"/>
        </w:rPr>
        <w:t xml:space="preserve">. </w:t>
      </w:r>
      <w:r w:rsidR="00D505C0" w:rsidRPr="00F92156">
        <w:rPr>
          <w:rStyle w:val="s2"/>
          <w:rFonts w:ascii="Times New Roman" w:hAnsi="Times New Roman" w:cs="Times New Roman"/>
          <w:sz w:val="24"/>
          <w:szCs w:val="24"/>
        </w:rPr>
        <w:t>Founded in 1936, the Natural Products Association (NPA) is the oldest and largest trade association representing the natural products industry. It represents over 700 diverse member organizations united in providing consumers with access to safe products to maintain and improve their health. NPA has taken a leadership role in promoting quality standards and has developed proactive certification programs. For example, NPA was the first organization to offer a third-party good manufacturing practices (GMP) certification program to dietary supplements and ingredient manufacturers. NPA</w:t>
      </w:r>
      <w:r w:rsidR="00F41D3F">
        <w:rPr>
          <w:rStyle w:val="s2"/>
          <w:rFonts w:ascii="Times New Roman" w:hAnsi="Times New Roman" w:cs="Times New Roman"/>
          <w:sz w:val="24"/>
          <w:szCs w:val="24"/>
        </w:rPr>
        <w:t>'</w:t>
      </w:r>
      <w:r w:rsidR="00D505C0" w:rsidRPr="00F92156">
        <w:rPr>
          <w:rStyle w:val="s2"/>
          <w:rFonts w:ascii="Times New Roman" w:hAnsi="Times New Roman" w:cs="Times New Roman"/>
          <w:sz w:val="24"/>
          <w:szCs w:val="24"/>
        </w:rPr>
        <w:t>s GMP standards include the FDA</w:t>
      </w:r>
      <w:r w:rsidR="00F41D3F">
        <w:rPr>
          <w:rStyle w:val="s2"/>
          <w:rFonts w:ascii="Times New Roman" w:hAnsi="Times New Roman" w:cs="Times New Roman"/>
          <w:sz w:val="24"/>
          <w:szCs w:val="24"/>
        </w:rPr>
        <w:t>'</w:t>
      </w:r>
      <w:r w:rsidR="00D505C0" w:rsidRPr="00F92156">
        <w:rPr>
          <w:rStyle w:val="s2"/>
          <w:rFonts w:ascii="Times New Roman" w:hAnsi="Times New Roman" w:cs="Times New Roman"/>
          <w:sz w:val="24"/>
          <w:szCs w:val="24"/>
        </w:rPr>
        <w:t>s requirements of 21 C.F.R. Part 111 and specific requirements that exceed Part 111 or reflect best industry practices.</w:t>
      </w:r>
    </w:p>
    <w:p w14:paraId="416DDAE9" w14:textId="5DDE273A" w:rsidR="00D505C0" w:rsidRPr="00F92156" w:rsidRDefault="00D505C0" w:rsidP="00F92156">
      <w:pPr>
        <w:pStyle w:val="NoSpacing"/>
        <w:jc w:val="both"/>
        <w:rPr>
          <w:rFonts w:ascii="Times New Roman" w:hAnsi="Times New Roman" w:cs="Times New Roman"/>
          <w:sz w:val="24"/>
          <w:szCs w:val="24"/>
        </w:rPr>
      </w:pPr>
    </w:p>
    <w:p w14:paraId="2E93BFCD" w14:textId="42450107"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Since 2014, I have led the organization as its president and CEO. Before joining NPA, I served as the top enforcement official at the Food and Drug Administration</w:t>
      </w:r>
      <w:r w:rsidR="00F41D3F">
        <w:rPr>
          <w:rFonts w:ascii="Times New Roman" w:hAnsi="Times New Roman" w:cs="Times New Roman"/>
          <w:sz w:val="24"/>
          <w:szCs w:val="24"/>
        </w:rPr>
        <w:t>'</w:t>
      </w:r>
      <w:r w:rsidRPr="00F92156">
        <w:rPr>
          <w:rFonts w:ascii="Times New Roman" w:hAnsi="Times New Roman" w:cs="Times New Roman"/>
          <w:sz w:val="24"/>
          <w:szCs w:val="24"/>
        </w:rPr>
        <w:t>s Division of Dietary Supplements during the Obama Administration. My tenure at FDA is considered one of the most productive enforcement periods in the FDA</w:t>
      </w:r>
      <w:r w:rsidR="00F41D3F">
        <w:rPr>
          <w:rFonts w:ascii="Times New Roman" w:hAnsi="Times New Roman" w:cs="Times New Roman"/>
          <w:sz w:val="24"/>
          <w:szCs w:val="24"/>
        </w:rPr>
        <w:t>'</w:t>
      </w:r>
      <w:r w:rsidRPr="00F92156">
        <w:rPr>
          <w:rFonts w:ascii="Times New Roman" w:hAnsi="Times New Roman" w:cs="Times New Roman"/>
          <w:sz w:val="24"/>
          <w:szCs w:val="24"/>
        </w:rPr>
        <w:t>s modern history averaging approximately 15 legal actions annually and more than 200 administration actions per year.</w:t>
      </w:r>
    </w:p>
    <w:p w14:paraId="2B840A43" w14:textId="038A734D" w:rsidR="00D505C0" w:rsidRPr="00F92156" w:rsidRDefault="00D505C0" w:rsidP="00F92156">
      <w:pPr>
        <w:pStyle w:val="NoSpacing"/>
        <w:jc w:val="both"/>
        <w:rPr>
          <w:rFonts w:ascii="Times New Roman" w:hAnsi="Times New Roman" w:cs="Times New Roman"/>
          <w:sz w:val="24"/>
          <w:szCs w:val="24"/>
        </w:rPr>
      </w:pPr>
    </w:p>
    <w:p w14:paraId="717604F8" w14:textId="77203501"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I am writing to you with grave concerns regarding the passage of AB 1341 and the implementation and enforcement of the legislation. As you </w:t>
      </w:r>
      <w:r w:rsidR="007B2497">
        <w:rPr>
          <w:rFonts w:ascii="Times New Roman" w:hAnsi="Times New Roman" w:cs="Times New Roman"/>
          <w:sz w:val="24"/>
          <w:szCs w:val="24"/>
        </w:rPr>
        <w:t xml:space="preserve">may </w:t>
      </w:r>
      <w:r w:rsidRPr="00F92156">
        <w:rPr>
          <w:rFonts w:ascii="Times New Roman" w:hAnsi="Times New Roman" w:cs="Times New Roman"/>
          <w:sz w:val="24"/>
          <w:szCs w:val="24"/>
        </w:rPr>
        <w:t xml:space="preserve">know, AB 1341 would prohibit the sale of dietary supplements marketed for weight loss to consumers under 18 </w:t>
      </w:r>
      <w:r w:rsidR="007B2497">
        <w:rPr>
          <w:rFonts w:ascii="Times New Roman" w:hAnsi="Times New Roman" w:cs="Times New Roman"/>
          <w:sz w:val="24"/>
          <w:szCs w:val="24"/>
        </w:rPr>
        <w:t xml:space="preserve">without a prescription </w:t>
      </w:r>
      <w:r w:rsidRPr="00F92156">
        <w:rPr>
          <w:rFonts w:ascii="Times New Roman" w:hAnsi="Times New Roman" w:cs="Times New Roman"/>
          <w:sz w:val="24"/>
          <w:szCs w:val="24"/>
        </w:rPr>
        <w:t xml:space="preserve">and establishes a series of restrictive </w:t>
      </w:r>
      <w:r w:rsidR="00E07775">
        <w:rPr>
          <w:rFonts w:ascii="Times New Roman" w:hAnsi="Times New Roman" w:cs="Times New Roman"/>
          <w:sz w:val="24"/>
          <w:szCs w:val="24"/>
        </w:rPr>
        <w:t xml:space="preserve">limitations. </w:t>
      </w:r>
      <w:r w:rsidRPr="00F92156">
        <w:rPr>
          <w:rFonts w:ascii="Times New Roman" w:hAnsi="Times New Roman" w:cs="Times New Roman"/>
          <w:sz w:val="24"/>
          <w:szCs w:val="24"/>
        </w:rPr>
        <w:t>AB 1341 fails to list specific ingredients or products of concern, nor does the sponsor point to any dietary supplements that are the genesis of this legislation during testimony in the assigned committees. Instead, AB 1341 tasks the Department of Public Health Director to consult with the public to determine which dietary supplements shall be prohibited for sale to consumers under 18</w:t>
      </w:r>
      <w:r w:rsidR="00E07775">
        <w:rPr>
          <w:rFonts w:ascii="Times New Roman" w:hAnsi="Times New Roman" w:cs="Times New Roman"/>
          <w:sz w:val="24"/>
          <w:szCs w:val="24"/>
        </w:rPr>
        <w:t xml:space="preserve"> without a prescription</w:t>
      </w:r>
      <w:r w:rsidRPr="00F92156">
        <w:rPr>
          <w:rFonts w:ascii="Times New Roman" w:hAnsi="Times New Roman" w:cs="Times New Roman"/>
          <w:sz w:val="24"/>
          <w:szCs w:val="24"/>
        </w:rPr>
        <w:t>.</w:t>
      </w:r>
    </w:p>
    <w:p w14:paraId="1385A3B4" w14:textId="08E5ED16" w:rsidR="00D505C0" w:rsidRPr="00F92156" w:rsidRDefault="00D505C0" w:rsidP="00F92156">
      <w:pPr>
        <w:pStyle w:val="NoSpacing"/>
        <w:jc w:val="both"/>
        <w:rPr>
          <w:rFonts w:ascii="Times New Roman" w:hAnsi="Times New Roman" w:cs="Times New Roman"/>
          <w:sz w:val="24"/>
          <w:szCs w:val="24"/>
        </w:rPr>
      </w:pPr>
    </w:p>
    <w:p w14:paraId="232C8933" w14:textId="77777777" w:rsidR="007E0C8D"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While a healthy diet is a foundation for better health, even the most well-informed and well-intentioned consumers don't always eat as they should. Supplements are easy to add to our daily </w:t>
      </w:r>
    </w:p>
    <w:p w14:paraId="27ACB62D" w14:textId="6590DB2F"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diets. This is often the first step many take toward greater nutritional awareness and healthy lifestyle choices. Whether taking a multivitamin, herbal product, or specialty supplement, people can live healthier lives by supplementing their diets. </w:t>
      </w:r>
    </w:p>
    <w:p w14:paraId="27D59A51" w14:textId="77777777" w:rsidR="00D505C0" w:rsidRPr="00F92156" w:rsidRDefault="00D505C0" w:rsidP="00F92156">
      <w:pPr>
        <w:pStyle w:val="NoSpacing"/>
        <w:jc w:val="both"/>
        <w:rPr>
          <w:rFonts w:ascii="Times New Roman" w:hAnsi="Times New Roman" w:cs="Times New Roman"/>
          <w:sz w:val="24"/>
          <w:szCs w:val="24"/>
        </w:rPr>
      </w:pPr>
    </w:p>
    <w:p w14:paraId="30823F59" w14:textId="77777777" w:rsidR="00E07775" w:rsidRDefault="00E07775" w:rsidP="00F92156">
      <w:pPr>
        <w:pStyle w:val="NoSpacing"/>
        <w:jc w:val="both"/>
        <w:rPr>
          <w:rFonts w:ascii="Times New Roman" w:hAnsi="Times New Roman" w:cs="Times New Roman"/>
          <w:sz w:val="24"/>
          <w:szCs w:val="24"/>
        </w:rPr>
      </w:pPr>
    </w:p>
    <w:p w14:paraId="488DD138" w14:textId="3A02C395"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The passage of the Dietary Supplement Health and Education Act (DSHEA) in 1994 represented a balanced and informed approach to protecting consumer health and access to dietary supplements. With DSHEA, Congress took an essential step in recognizing supplements</w:t>
      </w:r>
      <w:r w:rsidR="00F41D3F">
        <w:rPr>
          <w:rFonts w:ascii="Times New Roman" w:hAnsi="Times New Roman" w:cs="Times New Roman"/>
          <w:sz w:val="24"/>
          <w:szCs w:val="24"/>
        </w:rPr>
        <w:t>'</w:t>
      </w:r>
      <w:r w:rsidRPr="00F92156">
        <w:rPr>
          <w:rFonts w:ascii="Times New Roman" w:hAnsi="Times New Roman" w:cs="Times New Roman"/>
          <w:sz w:val="24"/>
          <w:szCs w:val="24"/>
        </w:rPr>
        <w:t xml:space="preserve"> role in promoting health and preventing chronic illness. In addition, DSHEA ensures access to safe products made to quality standards. The law also emphasizes the importance of communicating the positive health benefits of supplements so consumers can make informed decisions about their health.</w:t>
      </w:r>
      <w:r w:rsidR="00A07AB6">
        <w:rPr>
          <w:rFonts w:ascii="Times New Roman" w:hAnsi="Times New Roman" w:cs="Times New Roman"/>
          <w:sz w:val="24"/>
          <w:szCs w:val="24"/>
        </w:rPr>
        <w:t xml:space="preserve"> As discussed further below, the purpose and language of DSHEA was to ensure that a dietary supplement product would not be treated as a drug product. </w:t>
      </w:r>
      <w:r w:rsidRPr="00F92156">
        <w:rPr>
          <w:rFonts w:ascii="Times New Roman" w:hAnsi="Times New Roman" w:cs="Times New Roman"/>
          <w:sz w:val="24"/>
          <w:szCs w:val="24"/>
        </w:rPr>
        <w:t xml:space="preserve"> </w:t>
      </w:r>
    </w:p>
    <w:p w14:paraId="03A0293D" w14:textId="77777777" w:rsidR="00D505C0" w:rsidRPr="00F92156" w:rsidRDefault="00D505C0" w:rsidP="00F92156">
      <w:pPr>
        <w:pStyle w:val="NoSpacing"/>
        <w:jc w:val="both"/>
        <w:rPr>
          <w:rFonts w:ascii="Times New Roman" w:hAnsi="Times New Roman" w:cs="Times New Roman"/>
          <w:b/>
          <w:bCs/>
          <w:sz w:val="24"/>
          <w:szCs w:val="24"/>
          <w:u w:val="single"/>
        </w:rPr>
      </w:pPr>
    </w:p>
    <w:p w14:paraId="325ABF1C" w14:textId="77777777"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Additionally, DSHEA included critical provisions including:</w:t>
      </w:r>
    </w:p>
    <w:p w14:paraId="0007A640" w14:textId="77777777" w:rsidR="00D505C0" w:rsidRPr="00F92156" w:rsidRDefault="00D505C0" w:rsidP="00F92156">
      <w:pPr>
        <w:pStyle w:val="NoSpacing"/>
        <w:jc w:val="both"/>
        <w:rPr>
          <w:rFonts w:ascii="Times New Roman" w:hAnsi="Times New Roman" w:cs="Times New Roman"/>
          <w:i/>
          <w:iCs/>
          <w:sz w:val="24"/>
          <w:szCs w:val="24"/>
        </w:rPr>
      </w:pPr>
    </w:p>
    <w:p w14:paraId="46E9A7F3" w14:textId="79E44888"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Definition: </w:t>
      </w:r>
      <w:r w:rsidRPr="00F92156">
        <w:rPr>
          <w:rFonts w:ascii="Times New Roman" w:hAnsi="Times New Roman" w:cs="Times New Roman"/>
          <w:sz w:val="24"/>
          <w:szCs w:val="24"/>
        </w:rPr>
        <w:t>DSHEA defines a dietary supplement as any product that contains one or more nutritional ingredients, such as vitamins, minerals, herbs, or other botanicals, amino acids, or other ingredients used to supplement the diet. Dietary supplement ingredients may not be regulated as food additives or drugs.</w:t>
      </w:r>
    </w:p>
    <w:p w14:paraId="02CC2B27" w14:textId="77777777" w:rsidR="0040655D" w:rsidRPr="00F92156" w:rsidRDefault="0040655D" w:rsidP="00F92156">
      <w:pPr>
        <w:pStyle w:val="NoSpacing"/>
        <w:jc w:val="both"/>
        <w:rPr>
          <w:rFonts w:ascii="Times New Roman" w:hAnsi="Times New Roman" w:cs="Times New Roman"/>
          <w:i/>
          <w:iCs/>
          <w:sz w:val="24"/>
          <w:szCs w:val="24"/>
        </w:rPr>
      </w:pPr>
    </w:p>
    <w:p w14:paraId="145AD1BA" w14:textId="497C15B2"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Safety: </w:t>
      </w:r>
      <w:r w:rsidRPr="00F92156">
        <w:rPr>
          <w:rFonts w:ascii="Times New Roman" w:hAnsi="Times New Roman" w:cs="Times New Roman"/>
          <w:sz w:val="24"/>
          <w:szCs w:val="24"/>
        </w:rPr>
        <w:t xml:space="preserve">The legislation maintains the U.S. Food and Drug Administration's (FDA) authority to safeguard the public against unsafe products. FDA has the power to immediately remove products from the market if the FDA believes that product or ingredient represents a public health hazard. There are several instances of the FDA exercising this authority, most notably with ephedra. </w:t>
      </w:r>
    </w:p>
    <w:p w14:paraId="7B2C8656" w14:textId="77777777" w:rsidR="00D505C0" w:rsidRPr="00F92156" w:rsidRDefault="00D505C0" w:rsidP="00F92156">
      <w:pPr>
        <w:pStyle w:val="NoSpacing"/>
        <w:jc w:val="both"/>
        <w:rPr>
          <w:rFonts w:ascii="Times New Roman" w:hAnsi="Times New Roman" w:cs="Times New Roman"/>
          <w:sz w:val="24"/>
          <w:szCs w:val="24"/>
        </w:rPr>
      </w:pPr>
    </w:p>
    <w:p w14:paraId="762A932A" w14:textId="77777777"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New Products/Ingredients: </w:t>
      </w:r>
      <w:r w:rsidRPr="00F92156">
        <w:rPr>
          <w:rFonts w:ascii="Times New Roman" w:hAnsi="Times New Roman" w:cs="Times New Roman"/>
          <w:sz w:val="24"/>
          <w:szCs w:val="24"/>
        </w:rPr>
        <w:t>Before marketing a new dietary ingredient, a manufacturer must provide the FDA with adequate safety data before marketing. A "new dietary ingredient" is defined as a dietary ingredient that was first marketed after the enactment of DSHEA on October 15, 1994.</w:t>
      </w:r>
    </w:p>
    <w:p w14:paraId="5A5CB143" w14:textId="77777777" w:rsidR="00D505C0" w:rsidRPr="00F92156" w:rsidRDefault="00D505C0" w:rsidP="00F92156">
      <w:pPr>
        <w:pStyle w:val="NoSpacing"/>
        <w:jc w:val="both"/>
        <w:rPr>
          <w:rFonts w:ascii="Times New Roman" w:hAnsi="Times New Roman" w:cs="Times New Roman"/>
          <w:sz w:val="24"/>
          <w:szCs w:val="24"/>
        </w:rPr>
      </w:pPr>
    </w:p>
    <w:p w14:paraId="31092CAF" w14:textId="77777777"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Structure/Function Claims: </w:t>
      </w:r>
      <w:r w:rsidRPr="00F92156">
        <w:rPr>
          <w:rFonts w:ascii="Times New Roman" w:hAnsi="Times New Roman" w:cs="Times New Roman"/>
          <w:sz w:val="24"/>
          <w:szCs w:val="24"/>
        </w:rPr>
        <w:t>Under provisions outlined in DSHEA, dietary supplement marketers may include truthful and not-misleading claims on product labels that describe a nutrient's role in supporting wellness. These claims are referred to as structure/function claims or nutritional support claims. Manufacturers must provide the FDA with proof of these claims before marketing the supplement. Additionally, The Federal Trade Commission (FTC) and the FDA work together to regulate the marketing of dietary supplements. The FDA has primary responsibility for claims on product labeling, including packaging, inserts, and other promotional materials distributed at the point of sale. The FTC is primarily responsible for advertising claims, including print and broadcast ads, infomercials, catalogs, and similar direct marketing materials. Marketing on the internet is subject to regulation in the same fashion as promotions through any other media.</w:t>
      </w:r>
    </w:p>
    <w:p w14:paraId="48040B24" w14:textId="77777777" w:rsidR="00D505C0" w:rsidRPr="00F92156" w:rsidRDefault="00D505C0" w:rsidP="00F92156">
      <w:pPr>
        <w:pStyle w:val="NoSpacing"/>
        <w:jc w:val="both"/>
        <w:rPr>
          <w:rFonts w:ascii="Times New Roman" w:hAnsi="Times New Roman" w:cs="Times New Roman"/>
          <w:sz w:val="24"/>
          <w:szCs w:val="24"/>
        </w:rPr>
      </w:pPr>
    </w:p>
    <w:p w14:paraId="5E2C4E8D" w14:textId="77777777"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Labeling: </w:t>
      </w:r>
      <w:r w:rsidRPr="00F92156">
        <w:rPr>
          <w:rFonts w:ascii="Times New Roman" w:hAnsi="Times New Roman" w:cs="Times New Roman"/>
          <w:sz w:val="24"/>
          <w:szCs w:val="24"/>
        </w:rPr>
        <w:t xml:space="preserve">A dietary supplement label must list the name and quantity of each active ingredient; identify the product as a dietary supplement; and for herbal supplements, identify the part of the plant from which it is taken. Nutrition labeling must be present in a format appropriate to the product. </w:t>
      </w:r>
    </w:p>
    <w:p w14:paraId="64CE5555" w14:textId="77777777" w:rsidR="00D505C0" w:rsidRPr="00F92156" w:rsidRDefault="00D505C0" w:rsidP="00F92156">
      <w:pPr>
        <w:pStyle w:val="NoSpacing"/>
        <w:jc w:val="both"/>
        <w:rPr>
          <w:rFonts w:ascii="Times New Roman" w:hAnsi="Times New Roman" w:cs="Times New Roman"/>
          <w:sz w:val="24"/>
          <w:szCs w:val="24"/>
        </w:rPr>
      </w:pPr>
    </w:p>
    <w:p w14:paraId="69AA71BB" w14:textId="77777777" w:rsidR="00631538" w:rsidRDefault="00631538" w:rsidP="00F92156">
      <w:pPr>
        <w:pStyle w:val="NoSpacing"/>
        <w:jc w:val="both"/>
        <w:rPr>
          <w:rFonts w:ascii="Times New Roman" w:hAnsi="Times New Roman" w:cs="Times New Roman"/>
          <w:i/>
          <w:iCs/>
          <w:sz w:val="24"/>
          <w:szCs w:val="24"/>
        </w:rPr>
      </w:pPr>
    </w:p>
    <w:p w14:paraId="0CFF59F7" w14:textId="77777777" w:rsidR="00631538" w:rsidRDefault="00631538" w:rsidP="00F92156">
      <w:pPr>
        <w:pStyle w:val="NoSpacing"/>
        <w:jc w:val="both"/>
        <w:rPr>
          <w:rFonts w:ascii="Times New Roman" w:hAnsi="Times New Roman" w:cs="Times New Roman"/>
          <w:i/>
          <w:iCs/>
          <w:sz w:val="24"/>
          <w:szCs w:val="24"/>
        </w:rPr>
      </w:pPr>
    </w:p>
    <w:p w14:paraId="76F52296" w14:textId="77777777" w:rsidR="00631538" w:rsidRDefault="00631538" w:rsidP="00F92156">
      <w:pPr>
        <w:pStyle w:val="NoSpacing"/>
        <w:jc w:val="both"/>
        <w:rPr>
          <w:rFonts w:ascii="Times New Roman" w:hAnsi="Times New Roman" w:cs="Times New Roman"/>
          <w:i/>
          <w:iCs/>
          <w:sz w:val="24"/>
          <w:szCs w:val="24"/>
        </w:rPr>
      </w:pPr>
    </w:p>
    <w:p w14:paraId="3D4873CD" w14:textId="77777777" w:rsidR="005762E7" w:rsidRDefault="005762E7" w:rsidP="00F92156">
      <w:pPr>
        <w:pStyle w:val="NoSpacing"/>
        <w:jc w:val="both"/>
        <w:rPr>
          <w:rFonts w:ascii="Times New Roman" w:hAnsi="Times New Roman" w:cs="Times New Roman"/>
          <w:i/>
          <w:iCs/>
          <w:sz w:val="24"/>
          <w:szCs w:val="24"/>
        </w:rPr>
      </w:pPr>
    </w:p>
    <w:p w14:paraId="5A50B900" w14:textId="77777777" w:rsidR="005762E7" w:rsidRDefault="005762E7" w:rsidP="00F92156">
      <w:pPr>
        <w:pStyle w:val="NoSpacing"/>
        <w:jc w:val="both"/>
        <w:rPr>
          <w:rFonts w:ascii="Times New Roman" w:hAnsi="Times New Roman" w:cs="Times New Roman"/>
          <w:i/>
          <w:iCs/>
          <w:sz w:val="24"/>
          <w:szCs w:val="24"/>
        </w:rPr>
      </w:pPr>
    </w:p>
    <w:p w14:paraId="606E7AFE" w14:textId="77777777" w:rsidR="005762E7" w:rsidRDefault="005762E7" w:rsidP="00F92156">
      <w:pPr>
        <w:pStyle w:val="NoSpacing"/>
        <w:jc w:val="both"/>
        <w:rPr>
          <w:rFonts w:ascii="Times New Roman" w:hAnsi="Times New Roman" w:cs="Times New Roman"/>
          <w:i/>
          <w:iCs/>
          <w:sz w:val="24"/>
          <w:szCs w:val="24"/>
        </w:rPr>
      </w:pPr>
    </w:p>
    <w:p w14:paraId="5AAC7D1D" w14:textId="65D6119C"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Good Manufacturing Practices (GMPs): </w:t>
      </w:r>
      <w:r w:rsidRPr="00F92156">
        <w:rPr>
          <w:rFonts w:ascii="Times New Roman" w:hAnsi="Times New Roman" w:cs="Times New Roman"/>
          <w:sz w:val="24"/>
          <w:szCs w:val="24"/>
        </w:rPr>
        <w:t xml:space="preserve">Under DSHEA, supplements must comply with current good manufacturing practices. The FDA can issue special regulations on GMPs for dietary supplements. Dietary supplement GMPs are modeled after food GMPs. </w:t>
      </w:r>
    </w:p>
    <w:p w14:paraId="26489635" w14:textId="77777777" w:rsidR="00D505C0" w:rsidRPr="00F92156" w:rsidRDefault="00D505C0" w:rsidP="00F92156">
      <w:pPr>
        <w:pStyle w:val="NoSpacing"/>
        <w:jc w:val="both"/>
        <w:rPr>
          <w:rFonts w:ascii="Times New Roman" w:hAnsi="Times New Roman" w:cs="Times New Roman"/>
          <w:sz w:val="24"/>
          <w:szCs w:val="24"/>
        </w:rPr>
      </w:pPr>
    </w:p>
    <w:p w14:paraId="185E447D" w14:textId="77A00E1E"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i/>
          <w:iCs/>
          <w:sz w:val="24"/>
          <w:szCs w:val="24"/>
        </w:rPr>
        <w:t xml:space="preserve">Office of Dietary Supplements: </w:t>
      </w:r>
      <w:r w:rsidRPr="00F92156">
        <w:rPr>
          <w:rFonts w:ascii="Times New Roman" w:hAnsi="Times New Roman" w:cs="Times New Roman"/>
          <w:sz w:val="24"/>
          <w:szCs w:val="24"/>
        </w:rPr>
        <w:t xml:space="preserve">DSHEA's passage established an office within the National Institutes of Health to coordinate research on dietary supplements and disease prevention, develop a database of supplement research, and advise the Secretary of Health and Human Services on supplement regulation, safety, and health claims. FDA regulates both finished dietary supplement products and dietary ingredients. The NIH dietary supplement label database currently houses nearly 140,000 on-market and off-market dietary supplements providing the FDA with a picture of the dietary supplement market. FDA regulates dietary supplements under a different set of regulations than those covering "conventional" foods </w:t>
      </w:r>
      <w:proofErr w:type="gramStart"/>
      <w:r w:rsidRPr="00F92156">
        <w:rPr>
          <w:rFonts w:ascii="Times New Roman" w:hAnsi="Times New Roman" w:cs="Times New Roman"/>
          <w:sz w:val="24"/>
          <w:szCs w:val="24"/>
        </w:rPr>
        <w:t xml:space="preserve">and </w:t>
      </w:r>
      <w:r w:rsidR="0040655D" w:rsidRPr="00F92156">
        <w:rPr>
          <w:rFonts w:ascii="Times New Roman" w:hAnsi="Times New Roman" w:cs="Times New Roman"/>
          <w:sz w:val="24"/>
          <w:szCs w:val="24"/>
        </w:rPr>
        <w:t xml:space="preserve"> </w:t>
      </w:r>
      <w:r w:rsidRPr="00F92156">
        <w:rPr>
          <w:rFonts w:ascii="Times New Roman" w:hAnsi="Times New Roman" w:cs="Times New Roman"/>
          <w:sz w:val="24"/>
          <w:szCs w:val="24"/>
        </w:rPr>
        <w:t>drug</w:t>
      </w:r>
      <w:proofErr w:type="gramEnd"/>
      <w:r w:rsidRPr="00F92156">
        <w:rPr>
          <w:rFonts w:ascii="Times New Roman" w:hAnsi="Times New Roman" w:cs="Times New Roman"/>
          <w:sz w:val="24"/>
          <w:szCs w:val="24"/>
        </w:rPr>
        <w:t xml:space="preserve"> products. The FDA is responsible for exercising its enforcement authorities against adulterated, misbranded, or misbranded dietary supplement products.</w:t>
      </w:r>
    </w:p>
    <w:p w14:paraId="08B8FFC7" w14:textId="77777777" w:rsidR="00D505C0" w:rsidRPr="00F92156" w:rsidRDefault="00D505C0" w:rsidP="00F92156">
      <w:pPr>
        <w:pStyle w:val="NoSpacing"/>
        <w:jc w:val="both"/>
        <w:rPr>
          <w:rFonts w:ascii="Times New Roman" w:hAnsi="Times New Roman" w:cs="Times New Roman"/>
          <w:sz w:val="24"/>
          <w:szCs w:val="24"/>
        </w:rPr>
      </w:pPr>
    </w:p>
    <w:p w14:paraId="0A32F06B" w14:textId="41A9FCB3"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In 1993</w:t>
      </w:r>
      <w:r w:rsidR="00631538">
        <w:rPr>
          <w:rFonts w:ascii="Times New Roman" w:hAnsi="Times New Roman" w:cs="Times New Roman"/>
          <w:sz w:val="24"/>
          <w:szCs w:val="24"/>
        </w:rPr>
        <w:t>,</w:t>
      </w:r>
      <w:r w:rsidRPr="00F92156">
        <w:rPr>
          <w:rFonts w:ascii="Times New Roman" w:hAnsi="Times New Roman" w:cs="Times New Roman"/>
          <w:sz w:val="24"/>
          <w:szCs w:val="24"/>
        </w:rPr>
        <w:t xml:space="preserve"> FDA created the adverse event reporting system (AERs) to collect and review </w:t>
      </w:r>
      <w:r w:rsidR="00F41D3F">
        <w:rPr>
          <w:rFonts w:ascii="Times New Roman" w:hAnsi="Times New Roman" w:cs="Times New Roman"/>
          <w:sz w:val="24"/>
          <w:szCs w:val="24"/>
        </w:rPr>
        <w:t>adverse</w:t>
      </w:r>
      <w:r w:rsidRPr="00F92156">
        <w:rPr>
          <w:rFonts w:ascii="Times New Roman" w:hAnsi="Times New Roman" w:cs="Times New Roman"/>
          <w:sz w:val="24"/>
          <w:szCs w:val="24"/>
        </w:rPr>
        <w:t xml:space="preserve"> event reports on dietary supplements. The AERs provide an essential monitoring tool for identifying potential serious public health issues associated with using a particular product or product that needs to be investigated and critically evaluated. FDA</w:t>
      </w:r>
      <w:r w:rsidR="00F41D3F">
        <w:rPr>
          <w:rFonts w:ascii="Times New Roman" w:hAnsi="Times New Roman" w:cs="Times New Roman"/>
          <w:sz w:val="24"/>
          <w:szCs w:val="24"/>
        </w:rPr>
        <w:t>'</w:t>
      </w:r>
      <w:r w:rsidRPr="00F92156">
        <w:rPr>
          <w:rFonts w:ascii="Times New Roman" w:hAnsi="Times New Roman" w:cs="Times New Roman"/>
          <w:sz w:val="24"/>
          <w:szCs w:val="24"/>
        </w:rPr>
        <w:t xml:space="preserve">s adverse event reporting system for dietary supplements is a multipronged approach that </w:t>
      </w:r>
      <w:proofErr w:type="gramStart"/>
      <w:r w:rsidRPr="00F92156">
        <w:rPr>
          <w:rFonts w:ascii="Times New Roman" w:hAnsi="Times New Roman" w:cs="Times New Roman"/>
          <w:sz w:val="24"/>
          <w:szCs w:val="24"/>
        </w:rPr>
        <w:t>includes:</w:t>
      </w:r>
      <w:proofErr w:type="gramEnd"/>
      <w:r w:rsidRPr="00F92156">
        <w:rPr>
          <w:rFonts w:ascii="Times New Roman" w:hAnsi="Times New Roman" w:cs="Times New Roman"/>
          <w:sz w:val="24"/>
          <w:szCs w:val="24"/>
        </w:rPr>
        <w:t xml:space="preserve"> detecting adverse events, generating signals of possible health concerns, assessing those signals, and taking appropriate safety actions based on their assessment. An adverse event is an incident of illness or injury that </w:t>
      </w:r>
      <w:r w:rsidRPr="00F92156">
        <w:rPr>
          <w:rFonts w:ascii="Times New Roman" w:hAnsi="Times New Roman" w:cs="Times New Roman"/>
          <w:i/>
          <w:iCs/>
          <w:sz w:val="24"/>
          <w:szCs w:val="24"/>
        </w:rPr>
        <w:t>may</w:t>
      </w:r>
      <w:r w:rsidRPr="00F92156">
        <w:rPr>
          <w:rFonts w:ascii="Times New Roman" w:hAnsi="Times New Roman" w:cs="Times New Roman"/>
          <w:sz w:val="24"/>
          <w:szCs w:val="24"/>
        </w:rPr>
        <w:t xml:space="preserve"> be associated with a product or ingredient. With further investigation, the association may or may not be confirmed. FDA receives reports from various sources, including consumers and health professionals. </w:t>
      </w:r>
    </w:p>
    <w:p w14:paraId="5F3E0226" w14:textId="77777777" w:rsidR="00D505C0" w:rsidRPr="00F92156" w:rsidRDefault="00D505C0" w:rsidP="00F92156">
      <w:pPr>
        <w:pStyle w:val="NoSpacing"/>
        <w:jc w:val="both"/>
        <w:rPr>
          <w:rFonts w:ascii="Times New Roman" w:hAnsi="Times New Roman" w:cs="Times New Roman"/>
          <w:sz w:val="24"/>
          <w:szCs w:val="24"/>
        </w:rPr>
      </w:pPr>
    </w:p>
    <w:p w14:paraId="68E55E5E" w14:textId="0E4D45FA"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When a possible health problem signal is generated from the adverse event reporting system, the FDA assesses whether it is an actual health problem warranting attention. The FDA can consider these signals by reviewing scientific literature, consulting with experts, reviewing clinical data, conducting laboratory tests, and commissioning studies. Suppose FDA confirms that a public health problem exists. In that case, it can take a range of safety actions, such as issuing warnings to consumers and health professionals, issuing import alerts, requesting product recalls, or seizing products. The law requires adverse event reports received by a brand owner or manufacturer must be submitted to the FDA no later than 15 business days after receiving the information.</w:t>
      </w:r>
    </w:p>
    <w:p w14:paraId="32ABF717" w14:textId="77777777" w:rsidR="00D505C0" w:rsidRPr="00F92156" w:rsidRDefault="00D505C0" w:rsidP="00F92156">
      <w:pPr>
        <w:pStyle w:val="NoSpacing"/>
        <w:jc w:val="both"/>
        <w:rPr>
          <w:rFonts w:ascii="Times New Roman" w:hAnsi="Times New Roman" w:cs="Times New Roman"/>
          <w:sz w:val="24"/>
          <w:szCs w:val="24"/>
        </w:rPr>
      </w:pPr>
    </w:p>
    <w:p w14:paraId="06DBCCBA" w14:textId="287CF5F5"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The AERs are extremely valuable in determining a temporal relationship between a product and an eating disorder. The FDA uses the </w:t>
      </w:r>
      <w:proofErr w:type="spellStart"/>
      <w:r w:rsidRPr="00F92156">
        <w:rPr>
          <w:rFonts w:ascii="Times New Roman" w:hAnsi="Times New Roman" w:cs="Times New Roman"/>
          <w:sz w:val="24"/>
          <w:szCs w:val="24"/>
        </w:rPr>
        <w:t>Medwatch</w:t>
      </w:r>
      <w:proofErr w:type="spellEnd"/>
      <w:r w:rsidRPr="00F92156">
        <w:rPr>
          <w:rFonts w:ascii="Times New Roman" w:hAnsi="Times New Roman" w:cs="Times New Roman"/>
          <w:sz w:val="24"/>
          <w:szCs w:val="24"/>
        </w:rPr>
        <w:t xml:space="preserve"> system to add warnings to products it regulates that lead to or exacerbate eating disorders. </w:t>
      </w:r>
    </w:p>
    <w:p w14:paraId="39499D97" w14:textId="77777777" w:rsidR="00D505C0" w:rsidRPr="00F92156" w:rsidRDefault="00D505C0" w:rsidP="00F92156">
      <w:pPr>
        <w:pStyle w:val="NoSpacing"/>
        <w:jc w:val="both"/>
        <w:rPr>
          <w:rFonts w:ascii="Times New Roman" w:hAnsi="Times New Roman" w:cs="Times New Roman"/>
          <w:sz w:val="24"/>
          <w:szCs w:val="24"/>
        </w:rPr>
      </w:pPr>
    </w:p>
    <w:p w14:paraId="4E44AC3A" w14:textId="77777777" w:rsidR="00592D19"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Additionally, many supporters of this legislation have cited studies that lack a significant testing protocol called Challenge-</w:t>
      </w:r>
      <w:proofErr w:type="spellStart"/>
      <w:r w:rsidRPr="00F92156">
        <w:rPr>
          <w:rFonts w:ascii="Times New Roman" w:hAnsi="Times New Roman" w:cs="Times New Roman"/>
          <w:sz w:val="24"/>
          <w:szCs w:val="24"/>
        </w:rPr>
        <w:t>Dechallenge</w:t>
      </w:r>
      <w:proofErr w:type="spellEnd"/>
      <w:r w:rsidRPr="00F92156">
        <w:rPr>
          <w:rFonts w:ascii="Times New Roman" w:hAnsi="Times New Roman" w:cs="Times New Roman"/>
          <w:sz w:val="24"/>
          <w:szCs w:val="24"/>
        </w:rPr>
        <w:t xml:space="preserve">-Rechallenge (CDR). The goal of CDR is to determine whether there is a reasonable possibility that a product is etiologically related to the adverse event. </w:t>
      </w:r>
    </w:p>
    <w:p w14:paraId="22120B8A" w14:textId="77777777" w:rsidR="00592D19" w:rsidRDefault="00592D19" w:rsidP="00F92156">
      <w:pPr>
        <w:pStyle w:val="NoSpacing"/>
        <w:jc w:val="both"/>
        <w:rPr>
          <w:rFonts w:ascii="Times New Roman" w:hAnsi="Times New Roman" w:cs="Times New Roman"/>
          <w:sz w:val="24"/>
          <w:szCs w:val="24"/>
        </w:rPr>
      </w:pPr>
    </w:p>
    <w:p w14:paraId="5830154D" w14:textId="77777777" w:rsidR="005762E7" w:rsidRDefault="005762E7" w:rsidP="00F92156">
      <w:pPr>
        <w:pStyle w:val="NoSpacing"/>
        <w:jc w:val="both"/>
        <w:rPr>
          <w:rFonts w:ascii="Times New Roman" w:hAnsi="Times New Roman" w:cs="Times New Roman"/>
          <w:sz w:val="24"/>
          <w:szCs w:val="24"/>
        </w:rPr>
      </w:pPr>
    </w:p>
    <w:p w14:paraId="7B574195" w14:textId="77777777" w:rsidR="005762E7" w:rsidRDefault="005762E7" w:rsidP="00F92156">
      <w:pPr>
        <w:pStyle w:val="NoSpacing"/>
        <w:jc w:val="both"/>
        <w:rPr>
          <w:rFonts w:ascii="Times New Roman" w:hAnsi="Times New Roman" w:cs="Times New Roman"/>
          <w:sz w:val="24"/>
          <w:szCs w:val="24"/>
        </w:rPr>
      </w:pPr>
    </w:p>
    <w:p w14:paraId="76D7BC58" w14:textId="77777777" w:rsidR="005762E7" w:rsidRDefault="005762E7" w:rsidP="00F92156">
      <w:pPr>
        <w:pStyle w:val="NoSpacing"/>
        <w:jc w:val="both"/>
        <w:rPr>
          <w:rFonts w:ascii="Times New Roman" w:hAnsi="Times New Roman" w:cs="Times New Roman"/>
          <w:sz w:val="24"/>
          <w:szCs w:val="24"/>
        </w:rPr>
      </w:pPr>
    </w:p>
    <w:p w14:paraId="5BCE0797" w14:textId="4D6177E6"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Causality assessment includes temporal relationships through CDR, a medical testing protocol in</w:t>
      </w:r>
      <w:r w:rsidR="007E0C8D">
        <w:rPr>
          <w:rFonts w:ascii="Times New Roman" w:hAnsi="Times New Roman" w:cs="Times New Roman"/>
          <w:sz w:val="24"/>
          <w:szCs w:val="24"/>
        </w:rPr>
        <w:t xml:space="preserve"> </w:t>
      </w:r>
      <w:r w:rsidRPr="00F92156">
        <w:rPr>
          <w:rFonts w:ascii="Times New Roman" w:hAnsi="Times New Roman" w:cs="Times New Roman"/>
          <w:sz w:val="24"/>
          <w:szCs w:val="24"/>
        </w:rPr>
        <w:t>which a product is administered, withdrawn, then re-administered while being monitored for adverse effects at each stage. CDR is used when statistical testing is inappropriate due to an idiosyncratic reaction by a specific individual, very common with eating disorders, or a lack of sufficient test subjects. The unit of analysis is the individual.</w:t>
      </w:r>
    </w:p>
    <w:p w14:paraId="0A060686" w14:textId="77777777" w:rsidR="00D505C0" w:rsidRPr="00F92156" w:rsidRDefault="00D505C0" w:rsidP="00F92156">
      <w:pPr>
        <w:pStyle w:val="NoSpacing"/>
        <w:jc w:val="both"/>
        <w:rPr>
          <w:rFonts w:ascii="Times New Roman" w:hAnsi="Times New Roman" w:cs="Times New Roman"/>
          <w:b/>
          <w:bCs/>
          <w:sz w:val="24"/>
          <w:szCs w:val="24"/>
          <w:u w:val="single"/>
        </w:rPr>
      </w:pPr>
    </w:p>
    <w:p w14:paraId="64859C90" w14:textId="6C15C02A"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Thus, the hypothesis that supplements directly lead to eating disorders would then be picked up by AERs or </w:t>
      </w:r>
      <w:proofErr w:type="spellStart"/>
      <w:r w:rsidRPr="00F92156">
        <w:rPr>
          <w:rFonts w:ascii="Times New Roman" w:hAnsi="Times New Roman" w:cs="Times New Roman"/>
          <w:sz w:val="24"/>
          <w:szCs w:val="24"/>
        </w:rPr>
        <w:t>Medwatch</w:t>
      </w:r>
      <w:proofErr w:type="spellEnd"/>
      <w:r w:rsidRPr="00F92156">
        <w:rPr>
          <w:rFonts w:ascii="Times New Roman" w:hAnsi="Times New Roman" w:cs="Times New Roman"/>
          <w:sz w:val="24"/>
          <w:szCs w:val="24"/>
        </w:rPr>
        <w:t xml:space="preserve"> if it existed.</w:t>
      </w:r>
      <w:r w:rsidR="00C83E73" w:rsidRPr="00F92156">
        <w:rPr>
          <w:rFonts w:ascii="Times New Roman" w:hAnsi="Times New Roman" w:cs="Times New Roman"/>
          <w:sz w:val="24"/>
          <w:szCs w:val="24"/>
        </w:rPr>
        <w:t xml:space="preserve"> </w:t>
      </w:r>
      <w:r w:rsidR="00F861C2" w:rsidRPr="00F92156">
        <w:rPr>
          <w:rFonts w:ascii="Times New Roman" w:hAnsi="Times New Roman" w:cs="Times New Roman"/>
          <w:sz w:val="24"/>
          <w:szCs w:val="24"/>
        </w:rPr>
        <w:t>This is clearly demonstrated with p</w:t>
      </w:r>
      <w:r w:rsidR="00C83E73" w:rsidRPr="00F92156">
        <w:rPr>
          <w:rFonts w:ascii="Times New Roman" w:hAnsi="Times New Roman" w:cs="Times New Roman"/>
          <w:sz w:val="24"/>
          <w:szCs w:val="24"/>
        </w:rPr>
        <w:t>harmaceuticals such as</w:t>
      </w:r>
      <w:r w:rsidR="00F861C2" w:rsidRPr="00F92156">
        <w:rPr>
          <w:rFonts w:ascii="Times New Roman" w:hAnsi="Times New Roman" w:cs="Times New Roman"/>
          <w:sz w:val="24"/>
          <w:szCs w:val="24"/>
        </w:rPr>
        <w:t xml:space="preserve"> topiramate.</w:t>
      </w:r>
      <w:r w:rsidR="00F861C2" w:rsidRPr="00F92156">
        <w:rPr>
          <w:rStyle w:val="FootnoteReference"/>
          <w:rFonts w:ascii="Times New Roman" w:hAnsi="Times New Roman" w:cs="Times New Roman"/>
          <w:sz w:val="24"/>
          <w:szCs w:val="24"/>
        </w:rPr>
        <w:footnoteReference w:id="1"/>
      </w:r>
      <w:r w:rsidR="00C83E73" w:rsidRPr="00F92156">
        <w:rPr>
          <w:rFonts w:ascii="Times New Roman" w:hAnsi="Times New Roman" w:cs="Times New Roman"/>
          <w:sz w:val="24"/>
          <w:szCs w:val="24"/>
        </w:rPr>
        <w:t xml:space="preserve">  Thus the entire premise on the bill is not based on causality or any type of association</w:t>
      </w:r>
      <w:r w:rsidR="00F861C2" w:rsidRPr="00F92156">
        <w:rPr>
          <w:rFonts w:ascii="Times New Roman" w:hAnsi="Times New Roman" w:cs="Times New Roman"/>
          <w:sz w:val="24"/>
          <w:szCs w:val="24"/>
        </w:rPr>
        <w:t>-</w:t>
      </w:r>
      <w:r w:rsidR="00C83E73" w:rsidRPr="00F92156">
        <w:rPr>
          <w:rFonts w:ascii="Times New Roman" w:hAnsi="Times New Roman" w:cs="Times New Roman"/>
          <w:sz w:val="24"/>
          <w:szCs w:val="24"/>
        </w:rPr>
        <w:t>based relationship with dietary supplements</w:t>
      </w:r>
      <w:r w:rsidR="00F861C2" w:rsidRPr="00F92156">
        <w:rPr>
          <w:rFonts w:ascii="Times New Roman" w:hAnsi="Times New Roman" w:cs="Times New Roman"/>
          <w:sz w:val="24"/>
          <w:szCs w:val="24"/>
        </w:rPr>
        <w:t>, only on hearsay and behavioral studies which don</w:t>
      </w:r>
      <w:r w:rsidR="00F41D3F">
        <w:rPr>
          <w:rFonts w:ascii="Times New Roman" w:hAnsi="Times New Roman" w:cs="Times New Roman"/>
          <w:sz w:val="24"/>
          <w:szCs w:val="24"/>
        </w:rPr>
        <w:t>'</w:t>
      </w:r>
      <w:r w:rsidR="00F861C2" w:rsidRPr="00F92156">
        <w:rPr>
          <w:rFonts w:ascii="Times New Roman" w:hAnsi="Times New Roman" w:cs="Times New Roman"/>
          <w:sz w:val="24"/>
          <w:szCs w:val="24"/>
        </w:rPr>
        <w:t>t account for confounders like social media use.</w:t>
      </w:r>
    </w:p>
    <w:p w14:paraId="0B0CD88A" w14:textId="77777777" w:rsidR="00D505C0" w:rsidRPr="00F92156" w:rsidRDefault="00D505C0" w:rsidP="00F92156">
      <w:pPr>
        <w:pStyle w:val="NoSpacing"/>
        <w:jc w:val="both"/>
        <w:rPr>
          <w:rFonts w:ascii="Times New Roman" w:hAnsi="Times New Roman" w:cs="Times New Roman"/>
          <w:sz w:val="24"/>
          <w:szCs w:val="24"/>
        </w:rPr>
      </w:pPr>
    </w:p>
    <w:p w14:paraId="579798AA" w14:textId="7E7EACFE" w:rsidR="00C83E73"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In 2019 and 2022, NPA filed Freedom of Information Act (FOIA) </w:t>
      </w:r>
      <w:r w:rsidR="00631538" w:rsidRPr="00F92156">
        <w:rPr>
          <w:rFonts w:ascii="Times New Roman" w:hAnsi="Times New Roman" w:cs="Times New Roman"/>
          <w:sz w:val="24"/>
          <w:szCs w:val="24"/>
        </w:rPr>
        <w:t>inquir</w:t>
      </w:r>
      <w:r w:rsidR="00631538">
        <w:rPr>
          <w:rFonts w:ascii="Times New Roman" w:hAnsi="Times New Roman" w:cs="Times New Roman"/>
          <w:sz w:val="24"/>
          <w:szCs w:val="24"/>
        </w:rPr>
        <w:t>ies</w:t>
      </w:r>
      <w:r w:rsidR="00631538" w:rsidRPr="00F92156">
        <w:rPr>
          <w:rFonts w:ascii="Times New Roman" w:hAnsi="Times New Roman" w:cs="Times New Roman"/>
          <w:sz w:val="24"/>
          <w:szCs w:val="24"/>
        </w:rPr>
        <w:t xml:space="preserve"> </w:t>
      </w:r>
      <w:r w:rsidRPr="00F92156">
        <w:rPr>
          <w:rFonts w:ascii="Times New Roman" w:hAnsi="Times New Roman" w:cs="Times New Roman"/>
          <w:sz w:val="24"/>
          <w:szCs w:val="24"/>
        </w:rPr>
        <w:t xml:space="preserve">to the </w:t>
      </w:r>
      <w:r w:rsidR="00631538">
        <w:rPr>
          <w:rFonts w:ascii="Times New Roman" w:hAnsi="Times New Roman" w:cs="Times New Roman"/>
          <w:sz w:val="24"/>
          <w:szCs w:val="24"/>
        </w:rPr>
        <w:t>FDA</w:t>
      </w:r>
      <w:r w:rsidRPr="00F92156">
        <w:rPr>
          <w:rFonts w:ascii="Times New Roman" w:hAnsi="Times New Roman" w:cs="Times New Roman"/>
          <w:sz w:val="24"/>
          <w:szCs w:val="24"/>
        </w:rPr>
        <w:t xml:space="preserve"> to explore any adverse events for any cases involving eating disorders and weight-management or muscle-building products. </w:t>
      </w:r>
      <w:r w:rsidR="00C83E73" w:rsidRPr="00F92156">
        <w:rPr>
          <w:rFonts w:ascii="Times New Roman" w:hAnsi="Times New Roman" w:cs="Times New Roman"/>
          <w:sz w:val="24"/>
          <w:szCs w:val="24"/>
        </w:rPr>
        <w:t>Making our point</w:t>
      </w:r>
      <w:r w:rsidRPr="00F92156">
        <w:rPr>
          <w:rFonts w:ascii="Times New Roman" w:hAnsi="Times New Roman" w:cs="Times New Roman"/>
          <w:sz w:val="24"/>
          <w:szCs w:val="24"/>
        </w:rPr>
        <w:t>, according to the FDA, no data point connects eating disorders to weight management or muscle-building products.</w:t>
      </w:r>
    </w:p>
    <w:p w14:paraId="416C8095" w14:textId="77777777" w:rsidR="00C83E73" w:rsidRPr="00F92156" w:rsidRDefault="00C83E73" w:rsidP="00F92156">
      <w:pPr>
        <w:pStyle w:val="NoSpacing"/>
        <w:jc w:val="both"/>
        <w:rPr>
          <w:rFonts w:ascii="Times New Roman" w:hAnsi="Times New Roman" w:cs="Times New Roman"/>
          <w:sz w:val="24"/>
          <w:szCs w:val="24"/>
        </w:rPr>
      </w:pPr>
    </w:p>
    <w:p w14:paraId="3EC9E8D9" w14:textId="10CEAD41" w:rsidR="00C83E73" w:rsidRPr="00F92156" w:rsidRDefault="00C83E73"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Case reports regarding specific products are also absent from these discussions. It</w:t>
      </w:r>
      <w:r w:rsidR="00F41D3F">
        <w:rPr>
          <w:rFonts w:ascii="Times New Roman" w:hAnsi="Times New Roman" w:cs="Times New Roman"/>
          <w:sz w:val="24"/>
          <w:szCs w:val="24"/>
        </w:rPr>
        <w:t>'</w:t>
      </w:r>
      <w:r w:rsidRPr="00F92156">
        <w:rPr>
          <w:rFonts w:ascii="Times New Roman" w:hAnsi="Times New Roman" w:cs="Times New Roman"/>
          <w:sz w:val="24"/>
          <w:szCs w:val="24"/>
        </w:rPr>
        <w:t xml:space="preserve">s unclear why these standard pharmacovigilance aspects are absent from the dialogue, when the really should be at the heart of any </w:t>
      </w:r>
      <w:r w:rsidR="00E613E4" w:rsidRPr="00F92156">
        <w:rPr>
          <w:rFonts w:ascii="Times New Roman" w:hAnsi="Times New Roman" w:cs="Times New Roman"/>
          <w:sz w:val="24"/>
          <w:szCs w:val="24"/>
        </w:rPr>
        <w:t>science-based</w:t>
      </w:r>
      <w:r w:rsidRPr="00F92156">
        <w:rPr>
          <w:rFonts w:ascii="Times New Roman" w:hAnsi="Times New Roman" w:cs="Times New Roman"/>
          <w:sz w:val="24"/>
          <w:szCs w:val="24"/>
        </w:rPr>
        <w:t xml:space="preserve"> discussion on the assessment of causality. We would like to have that discussion with yourself or anyone else at STRIPED, the </w:t>
      </w:r>
      <w:r w:rsidR="00F41D3F">
        <w:rPr>
          <w:rFonts w:ascii="Times New Roman" w:hAnsi="Times New Roman" w:cs="Times New Roman"/>
          <w:sz w:val="24"/>
          <w:szCs w:val="24"/>
        </w:rPr>
        <w:t>"</w:t>
      </w:r>
      <w:r w:rsidRPr="00F92156">
        <w:rPr>
          <w:rFonts w:ascii="Times New Roman" w:hAnsi="Times New Roman" w:cs="Times New Roman"/>
          <w:sz w:val="24"/>
          <w:szCs w:val="24"/>
        </w:rPr>
        <w:t>authors</w:t>
      </w:r>
      <w:r w:rsidR="00F41D3F">
        <w:rPr>
          <w:rFonts w:ascii="Times New Roman" w:hAnsi="Times New Roman" w:cs="Times New Roman"/>
          <w:sz w:val="24"/>
          <w:szCs w:val="24"/>
        </w:rPr>
        <w:t>"</w:t>
      </w:r>
      <w:r w:rsidRPr="00F92156">
        <w:rPr>
          <w:rFonts w:ascii="Times New Roman" w:hAnsi="Times New Roman" w:cs="Times New Roman"/>
          <w:sz w:val="24"/>
          <w:szCs w:val="24"/>
        </w:rPr>
        <w:t xml:space="preserve"> of this bill to better understand that approach, as it appears to deviate from best practices in assigning or making broad statements regarding causality. We have asked </w:t>
      </w:r>
      <w:r w:rsidR="00E613E4" w:rsidRPr="00F92156">
        <w:rPr>
          <w:rFonts w:ascii="Times New Roman" w:hAnsi="Times New Roman" w:cs="Times New Roman"/>
          <w:sz w:val="24"/>
          <w:szCs w:val="24"/>
        </w:rPr>
        <w:t>STRIPED</w:t>
      </w:r>
      <w:r w:rsidRPr="00F92156">
        <w:rPr>
          <w:rFonts w:ascii="Times New Roman" w:hAnsi="Times New Roman" w:cs="Times New Roman"/>
          <w:sz w:val="24"/>
          <w:szCs w:val="24"/>
        </w:rPr>
        <w:t xml:space="preserve"> for a meeting going back to April of this year </w:t>
      </w:r>
      <w:r w:rsidR="001D7378" w:rsidRPr="00F92156">
        <w:rPr>
          <w:rFonts w:ascii="Times New Roman" w:hAnsi="Times New Roman" w:cs="Times New Roman"/>
          <w:sz w:val="24"/>
          <w:szCs w:val="24"/>
        </w:rPr>
        <w:t>to discuss this point which they have avoided.</w:t>
      </w:r>
    </w:p>
    <w:p w14:paraId="38221D22" w14:textId="45BF833D" w:rsidR="00D505C0" w:rsidRPr="00F92156" w:rsidRDefault="00D505C0" w:rsidP="00F92156">
      <w:pPr>
        <w:pStyle w:val="NoSpacing"/>
        <w:jc w:val="both"/>
        <w:rPr>
          <w:rFonts w:ascii="Times New Roman" w:hAnsi="Times New Roman" w:cs="Times New Roman"/>
          <w:sz w:val="24"/>
          <w:szCs w:val="24"/>
        </w:rPr>
      </w:pPr>
    </w:p>
    <w:p w14:paraId="0E1BAB4D" w14:textId="213E6E91" w:rsidR="00D505C0" w:rsidRPr="00F92156" w:rsidRDefault="00891D45"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Furthermore</w:t>
      </w:r>
      <w:r w:rsidR="00A569A7" w:rsidRPr="00F92156">
        <w:rPr>
          <w:rFonts w:ascii="Times New Roman" w:hAnsi="Times New Roman" w:cs="Times New Roman"/>
          <w:sz w:val="24"/>
          <w:szCs w:val="24"/>
        </w:rPr>
        <w:t>,</w:t>
      </w:r>
      <w:r w:rsidRPr="00F92156">
        <w:rPr>
          <w:rFonts w:ascii="Times New Roman" w:hAnsi="Times New Roman" w:cs="Times New Roman"/>
          <w:sz w:val="24"/>
          <w:szCs w:val="24"/>
        </w:rPr>
        <w:t xml:space="preserve"> the recent Senate summary lists common</w:t>
      </w:r>
      <w:r w:rsidR="00E613E4" w:rsidRPr="00F92156">
        <w:rPr>
          <w:rFonts w:ascii="Times New Roman" w:hAnsi="Times New Roman" w:cs="Times New Roman"/>
          <w:sz w:val="24"/>
          <w:szCs w:val="24"/>
        </w:rPr>
        <w:t>-u</w:t>
      </w:r>
      <w:r w:rsidRPr="00F92156">
        <w:rPr>
          <w:rFonts w:ascii="Times New Roman" w:hAnsi="Times New Roman" w:cs="Times New Roman"/>
          <w:sz w:val="24"/>
          <w:szCs w:val="24"/>
        </w:rPr>
        <w:t>sed weight loss ingredients</w:t>
      </w:r>
      <w:r w:rsidR="00A569A7" w:rsidRPr="00F92156">
        <w:rPr>
          <w:rFonts w:ascii="Times New Roman" w:hAnsi="Times New Roman" w:cs="Times New Roman"/>
          <w:sz w:val="24"/>
          <w:szCs w:val="24"/>
        </w:rPr>
        <w:t xml:space="preserve">, essentially creating a list of targets. Targets which have never been discussed in the drafting of AB 1341. </w:t>
      </w:r>
      <w:r w:rsidR="00E613E4" w:rsidRPr="00F92156">
        <w:rPr>
          <w:rFonts w:ascii="Times New Roman" w:hAnsi="Times New Roman" w:cs="Times New Roman"/>
          <w:sz w:val="24"/>
          <w:szCs w:val="24"/>
        </w:rPr>
        <w:t>Such targets include</w:t>
      </w:r>
      <w:r w:rsidR="00853CAF" w:rsidRPr="00F92156">
        <w:rPr>
          <w:rFonts w:ascii="Times New Roman" w:hAnsi="Times New Roman" w:cs="Times New Roman"/>
          <w:sz w:val="24"/>
          <w:szCs w:val="24"/>
        </w:rPr>
        <w:t xml:space="preserve"> (but aren</w:t>
      </w:r>
      <w:r w:rsidR="00F41D3F">
        <w:rPr>
          <w:rFonts w:ascii="Times New Roman" w:hAnsi="Times New Roman" w:cs="Times New Roman"/>
          <w:sz w:val="24"/>
          <w:szCs w:val="24"/>
        </w:rPr>
        <w:t>'</w:t>
      </w:r>
      <w:r w:rsidR="00853CAF" w:rsidRPr="00F92156">
        <w:rPr>
          <w:rFonts w:ascii="Times New Roman" w:hAnsi="Times New Roman" w:cs="Times New Roman"/>
          <w:sz w:val="24"/>
          <w:szCs w:val="24"/>
        </w:rPr>
        <w:t>t limited to)</w:t>
      </w:r>
      <w:r w:rsidR="00E613E4" w:rsidRPr="00F92156">
        <w:rPr>
          <w:rFonts w:ascii="Times New Roman" w:hAnsi="Times New Roman" w:cs="Times New Roman"/>
          <w:sz w:val="24"/>
          <w:szCs w:val="24"/>
        </w:rPr>
        <w:t>: vitamin D</w:t>
      </w:r>
      <w:r w:rsidR="00853CAF" w:rsidRPr="00F92156">
        <w:rPr>
          <w:rFonts w:ascii="Times New Roman" w:hAnsi="Times New Roman" w:cs="Times New Roman"/>
          <w:sz w:val="24"/>
          <w:szCs w:val="24"/>
        </w:rPr>
        <w:t>;</w:t>
      </w:r>
      <w:r w:rsidR="00E613E4" w:rsidRPr="00F92156">
        <w:rPr>
          <w:rFonts w:ascii="Times New Roman" w:hAnsi="Times New Roman" w:cs="Times New Roman"/>
          <w:sz w:val="24"/>
          <w:szCs w:val="24"/>
        </w:rPr>
        <w:t xml:space="preserve"> </w:t>
      </w:r>
      <w:r w:rsidR="00853CAF" w:rsidRPr="00F92156">
        <w:rPr>
          <w:rFonts w:ascii="Times New Roman" w:hAnsi="Times New Roman" w:cs="Times New Roman"/>
          <w:sz w:val="24"/>
          <w:szCs w:val="24"/>
        </w:rPr>
        <w:t>probiotics; calcium; and chromium. These ingredients and products containing them would be the target of restriction, the same calcium and vitamin D in milk would now require proof of age to purchase in a tablet or capsule. Clearly this is bad policy.</w:t>
      </w:r>
    </w:p>
    <w:p w14:paraId="20742AA7" w14:textId="77777777" w:rsidR="00D505C0" w:rsidRPr="00F92156" w:rsidRDefault="00D505C0" w:rsidP="00F92156">
      <w:pPr>
        <w:pStyle w:val="NoSpacing"/>
        <w:jc w:val="both"/>
        <w:rPr>
          <w:rFonts w:ascii="Times New Roman" w:hAnsi="Times New Roman" w:cs="Times New Roman"/>
          <w:sz w:val="24"/>
          <w:szCs w:val="24"/>
        </w:rPr>
      </w:pPr>
    </w:p>
    <w:p w14:paraId="1ADEA17C" w14:textId="6838F036" w:rsidR="00C83E73" w:rsidRPr="00F92156" w:rsidRDefault="00A569A7" w:rsidP="00F92156">
      <w:pPr>
        <w:pStyle w:val="NoSpacing"/>
        <w:jc w:val="both"/>
        <w:rPr>
          <w:rFonts w:ascii="Times New Roman" w:hAnsi="Times New Roman" w:cs="Times New Roman"/>
          <w:i/>
          <w:iCs/>
          <w:sz w:val="24"/>
          <w:szCs w:val="24"/>
        </w:rPr>
      </w:pPr>
      <w:r w:rsidRPr="00F92156">
        <w:rPr>
          <w:rFonts w:ascii="Times New Roman" w:hAnsi="Times New Roman" w:cs="Times New Roman"/>
          <w:sz w:val="24"/>
          <w:szCs w:val="24"/>
        </w:rPr>
        <w:t xml:space="preserve">The enforceability of </w:t>
      </w:r>
      <w:r w:rsidR="00853CAF" w:rsidRPr="00F92156">
        <w:rPr>
          <w:rFonts w:ascii="Times New Roman" w:hAnsi="Times New Roman" w:cs="Times New Roman"/>
          <w:sz w:val="24"/>
          <w:szCs w:val="24"/>
        </w:rPr>
        <w:t>AB1341</w:t>
      </w:r>
      <w:r w:rsidRPr="00F92156">
        <w:rPr>
          <w:rFonts w:ascii="Times New Roman" w:hAnsi="Times New Roman" w:cs="Times New Roman"/>
          <w:sz w:val="24"/>
          <w:szCs w:val="24"/>
        </w:rPr>
        <w:t xml:space="preserve"> is also rife with problems. </w:t>
      </w:r>
      <w:r w:rsidR="00C83E73" w:rsidRPr="00F92156">
        <w:rPr>
          <w:rFonts w:ascii="Times New Roman" w:hAnsi="Times New Roman" w:cs="Times New Roman"/>
          <w:sz w:val="24"/>
          <w:szCs w:val="24"/>
        </w:rPr>
        <w:t>Section d</w:t>
      </w:r>
      <w:r w:rsidRPr="00F92156">
        <w:rPr>
          <w:rFonts w:ascii="Times New Roman" w:hAnsi="Times New Roman" w:cs="Times New Roman"/>
          <w:sz w:val="24"/>
          <w:szCs w:val="24"/>
        </w:rPr>
        <w:t xml:space="preserve"> </w:t>
      </w:r>
      <w:r w:rsidR="00C83E73" w:rsidRPr="00F92156">
        <w:rPr>
          <w:rFonts w:ascii="Times New Roman" w:hAnsi="Times New Roman" w:cs="Times New Roman"/>
          <w:sz w:val="24"/>
          <w:szCs w:val="24"/>
        </w:rPr>
        <w:t xml:space="preserve">(3) makes it almost impossible for a retailer to comply with this law. It exempts an individual clerk from civil liability for failing to comply with the law, and it exempts a clerk from </w:t>
      </w:r>
      <w:r w:rsidR="00F41D3F">
        <w:rPr>
          <w:rFonts w:ascii="Times New Roman" w:hAnsi="Times New Roman" w:cs="Times New Roman"/>
          <w:sz w:val="24"/>
          <w:szCs w:val="24"/>
        </w:rPr>
        <w:t>"</w:t>
      </w:r>
      <w:r w:rsidR="00C83E73" w:rsidRPr="00F92156">
        <w:rPr>
          <w:rFonts w:ascii="Times New Roman" w:hAnsi="Times New Roman" w:cs="Times New Roman"/>
          <w:i/>
          <w:iCs/>
          <w:sz w:val="24"/>
          <w:szCs w:val="24"/>
        </w:rPr>
        <w:t>any disciplinary action or discharge by the retail</w:t>
      </w:r>
      <w:r w:rsidR="00B30598" w:rsidRPr="00F92156">
        <w:rPr>
          <w:rFonts w:ascii="Times New Roman" w:hAnsi="Times New Roman" w:cs="Times New Roman"/>
          <w:i/>
          <w:iCs/>
          <w:sz w:val="24"/>
          <w:szCs w:val="24"/>
        </w:rPr>
        <w:t xml:space="preserve"> </w:t>
      </w:r>
      <w:r w:rsidR="00C83E73" w:rsidRPr="00F92156">
        <w:rPr>
          <w:rFonts w:ascii="Times New Roman" w:hAnsi="Times New Roman" w:cs="Times New Roman"/>
          <w:i/>
          <w:iCs/>
          <w:sz w:val="24"/>
          <w:szCs w:val="24"/>
        </w:rPr>
        <w:t>establishment, for violation of this section. This</w:t>
      </w:r>
      <w:r w:rsidRPr="00F92156">
        <w:rPr>
          <w:rFonts w:ascii="Times New Roman" w:hAnsi="Times New Roman" w:cs="Times New Roman"/>
          <w:i/>
          <w:iCs/>
          <w:sz w:val="24"/>
          <w:szCs w:val="24"/>
        </w:rPr>
        <w:t xml:space="preserve"> </w:t>
      </w:r>
      <w:r w:rsidR="00C83E73" w:rsidRPr="00F92156">
        <w:rPr>
          <w:rFonts w:ascii="Times New Roman" w:hAnsi="Times New Roman" w:cs="Times New Roman"/>
          <w:i/>
          <w:iCs/>
          <w:sz w:val="24"/>
          <w:szCs w:val="24"/>
        </w:rPr>
        <w:t>paragraph does not apply to a retail clerk who is a willful participant in an ongoing conspiracy to violate this section</w:t>
      </w:r>
      <w:r w:rsidR="00C83E73" w:rsidRPr="00F92156">
        <w:rPr>
          <w:rFonts w:ascii="Times New Roman" w:hAnsi="Times New Roman" w:cs="Times New Roman"/>
          <w:sz w:val="24"/>
          <w:szCs w:val="24"/>
        </w:rPr>
        <w:t>.</w:t>
      </w:r>
      <w:r w:rsidR="00F41D3F">
        <w:rPr>
          <w:rFonts w:ascii="Times New Roman" w:hAnsi="Times New Roman" w:cs="Times New Roman"/>
          <w:sz w:val="24"/>
          <w:szCs w:val="24"/>
        </w:rPr>
        <w:t>"</w:t>
      </w:r>
    </w:p>
    <w:p w14:paraId="69E5C06D" w14:textId="77777777" w:rsidR="00C83E73" w:rsidRPr="00F92156" w:rsidRDefault="00C83E73"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 </w:t>
      </w:r>
    </w:p>
    <w:p w14:paraId="3460F669" w14:textId="7FAE65C5" w:rsidR="00592D19" w:rsidRDefault="00A569A7"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H</w:t>
      </w:r>
      <w:r w:rsidR="00C83E73" w:rsidRPr="00F92156">
        <w:rPr>
          <w:rFonts w:ascii="Times New Roman" w:hAnsi="Times New Roman" w:cs="Times New Roman"/>
          <w:sz w:val="24"/>
          <w:szCs w:val="24"/>
        </w:rPr>
        <w:t>ow is a retailer supposed to enforce compliance with the law if it can</w:t>
      </w:r>
      <w:r w:rsidR="00F41D3F">
        <w:rPr>
          <w:rFonts w:ascii="Times New Roman" w:hAnsi="Times New Roman" w:cs="Times New Roman"/>
          <w:sz w:val="24"/>
          <w:szCs w:val="24"/>
        </w:rPr>
        <w:t>'</w:t>
      </w:r>
      <w:r w:rsidR="00C83E73" w:rsidRPr="00F92156">
        <w:rPr>
          <w:rFonts w:ascii="Times New Roman" w:hAnsi="Times New Roman" w:cs="Times New Roman"/>
          <w:sz w:val="24"/>
          <w:szCs w:val="24"/>
        </w:rPr>
        <w:t xml:space="preserve">t discipline employees who refuse or fail to card someone who reasonably appears to be under 18? It seems that unless the </w:t>
      </w:r>
      <w:r w:rsidR="007E0C8D">
        <w:rPr>
          <w:rFonts w:ascii="Times New Roman" w:hAnsi="Times New Roman" w:cs="Times New Roman"/>
          <w:sz w:val="24"/>
          <w:szCs w:val="24"/>
        </w:rPr>
        <w:t xml:space="preserve"> </w:t>
      </w:r>
    </w:p>
    <w:p w14:paraId="7135AA71" w14:textId="77777777" w:rsidR="00592D19" w:rsidRDefault="00592D19" w:rsidP="00F92156">
      <w:pPr>
        <w:pStyle w:val="NoSpacing"/>
        <w:jc w:val="both"/>
        <w:rPr>
          <w:rFonts w:ascii="Times New Roman" w:hAnsi="Times New Roman" w:cs="Times New Roman"/>
          <w:sz w:val="24"/>
          <w:szCs w:val="24"/>
        </w:rPr>
      </w:pPr>
    </w:p>
    <w:p w14:paraId="3CF5694B" w14:textId="77777777" w:rsidR="00592D19" w:rsidRDefault="00592D19" w:rsidP="00F92156">
      <w:pPr>
        <w:pStyle w:val="NoSpacing"/>
        <w:jc w:val="both"/>
        <w:rPr>
          <w:rFonts w:ascii="Times New Roman" w:hAnsi="Times New Roman" w:cs="Times New Roman"/>
          <w:sz w:val="24"/>
          <w:szCs w:val="24"/>
        </w:rPr>
      </w:pPr>
    </w:p>
    <w:p w14:paraId="0337B366" w14:textId="77777777" w:rsidR="005762E7" w:rsidRDefault="005762E7" w:rsidP="00F92156">
      <w:pPr>
        <w:pStyle w:val="NoSpacing"/>
        <w:jc w:val="both"/>
        <w:rPr>
          <w:rFonts w:ascii="Times New Roman" w:hAnsi="Times New Roman" w:cs="Times New Roman"/>
          <w:sz w:val="24"/>
          <w:szCs w:val="24"/>
        </w:rPr>
      </w:pPr>
    </w:p>
    <w:p w14:paraId="4E290EFF" w14:textId="77777777" w:rsidR="005762E7" w:rsidRDefault="005762E7" w:rsidP="00F92156">
      <w:pPr>
        <w:pStyle w:val="NoSpacing"/>
        <w:jc w:val="both"/>
        <w:rPr>
          <w:rFonts w:ascii="Times New Roman" w:hAnsi="Times New Roman" w:cs="Times New Roman"/>
          <w:sz w:val="24"/>
          <w:szCs w:val="24"/>
        </w:rPr>
      </w:pPr>
    </w:p>
    <w:p w14:paraId="6D41DF53" w14:textId="3B051A79" w:rsidR="00C83E73" w:rsidRPr="00F92156" w:rsidRDefault="00C83E73"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retailer has evidence that its clerk is engaged in a </w:t>
      </w:r>
      <w:r w:rsidR="00F41D3F">
        <w:rPr>
          <w:rFonts w:ascii="Times New Roman" w:hAnsi="Times New Roman" w:cs="Times New Roman"/>
          <w:sz w:val="24"/>
          <w:szCs w:val="24"/>
        </w:rPr>
        <w:t>"</w:t>
      </w:r>
      <w:r w:rsidRPr="00F92156">
        <w:rPr>
          <w:rFonts w:ascii="Times New Roman" w:hAnsi="Times New Roman" w:cs="Times New Roman"/>
          <w:sz w:val="24"/>
          <w:szCs w:val="24"/>
        </w:rPr>
        <w:t>conspiracy</w:t>
      </w:r>
      <w:r w:rsidR="00F41D3F">
        <w:rPr>
          <w:rFonts w:ascii="Times New Roman" w:hAnsi="Times New Roman" w:cs="Times New Roman"/>
          <w:sz w:val="24"/>
          <w:szCs w:val="24"/>
        </w:rPr>
        <w:t>"</w:t>
      </w:r>
      <w:r w:rsidRPr="00F92156">
        <w:rPr>
          <w:rFonts w:ascii="Times New Roman" w:hAnsi="Times New Roman" w:cs="Times New Roman"/>
          <w:sz w:val="24"/>
          <w:szCs w:val="24"/>
        </w:rPr>
        <w:t>, it has no recourse except to allow the clerk to continue ignoring the law</w:t>
      </w:r>
      <w:r w:rsidR="00A569A7" w:rsidRPr="00F92156">
        <w:rPr>
          <w:rFonts w:ascii="Times New Roman" w:hAnsi="Times New Roman" w:cs="Times New Roman"/>
          <w:sz w:val="24"/>
          <w:szCs w:val="24"/>
        </w:rPr>
        <w:t>.</w:t>
      </w:r>
      <w:r w:rsidR="005762E7">
        <w:rPr>
          <w:rFonts w:ascii="Times New Roman" w:hAnsi="Times New Roman" w:cs="Times New Roman"/>
          <w:sz w:val="24"/>
          <w:szCs w:val="24"/>
        </w:rPr>
        <w:t xml:space="preserve"> </w:t>
      </w:r>
      <w:proofErr w:type="gramStart"/>
      <w:r w:rsidR="00A569A7" w:rsidRPr="00F92156">
        <w:rPr>
          <w:rFonts w:ascii="Times New Roman" w:hAnsi="Times New Roman" w:cs="Times New Roman"/>
          <w:sz w:val="24"/>
          <w:szCs w:val="24"/>
        </w:rPr>
        <w:t>Additionally</w:t>
      </w:r>
      <w:proofErr w:type="gramEnd"/>
      <w:r w:rsidR="00A569A7" w:rsidRPr="00F92156">
        <w:rPr>
          <w:rFonts w:ascii="Times New Roman" w:hAnsi="Times New Roman" w:cs="Times New Roman"/>
          <w:sz w:val="24"/>
          <w:szCs w:val="24"/>
        </w:rPr>
        <w:t xml:space="preserve">, AB 1341 completely disregards the prescribing laws in California. Dietary supplements are foods and while a doctor can prescribe anything off label, in California such a prescription is subject to electronic requirements via AB 2789. Thus, at a time of tremendous inflation, AB 1341 made a requirement that all grocery stores, specialty retail, gas stations, any operation that sells supplements outside of a pharmacy would now have to have the capability to receive an electronic data transmission prescription on behalf of a healthcare practitioner authorized to issue a prescription. Such systems and recordkeeping are </w:t>
      </w:r>
      <w:r w:rsidR="0040655D" w:rsidRPr="00F92156">
        <w:rPr>
          <w:rFonts w:ascii="Times New Roman" w:hAnsi="Times New Roman" w:cs="Times New Roman"/>
          <w:sz w:val="24"/>
          <w:szCs w:val="24"/>
        </w:rPr>
        <w:t xml:space="preserve">extremely costly </w:t>
      </w:r>
      <w:r w:rsidR="00A569A7" w:rsidRPr="00F92156">
        <w:rPr>
          <w:rFonts w:ascii="Times New Roman" w:hAnsi="Times New Roman" w:cs="Times New Roman"/>
          <w:sz w:val="24"/>
          <w:szCs w:val="24"/>
        </w:rPr>
        <w:t xml:space="preserve">and would also require inspections by the State Medical board to ensure functionality. </w:t>
      </w:r>
    </w:p>
    <w:p w14:paraId="03EBEC0D" w14:textId="77777777" w:rsidR="00C83E73" w:rsidRPr="00F92156" w:rsidRDefault="00C83E73" w:rsidP="00F92156">
      <w:pPr>
        <w:pStyle w:val="NoSpacing"/>
        <w:jc w:val="both"/>
        <w:rPr>
          <w:rFonts w:ascii="Times New Roman" w:hAnsi="Times New Roman" w:cs="Times New Roman"/>
          <w:sz w:val="24"/>
          <w:szCs w:val="24"/>
        </w:rPr>
      </w:pPr>
    </w:p>
    <w:p w14:paraId="239636DE" w14:textId="43B221B4" w:rsidR="008E213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 xml:space="preserve">As </w:t>
      </w:r>
      <w:r w:rsidR="005762E7">
        <w:rPr>
          <w:rFonts w:ascii="Times New Roman" w:hAnsi="Times New Roman" w:cs="Times New Roman"/>
          <w:sz w:val="24"/>
          <w:szCs w:val="24"/>
        </w:rPr>
        <w:t>Governor of the largest state representing the industry</w:t>
      </w:r>
      <w:r w:rsidRPr="00F92156">
        <w:rPr>
          <w:rFonts w:ascii="Times New Roman" w:hAnsi="Times New Roman" w:cs="Times New Roman"/>
          <w:sz w:val="24"/>
          <w:szCs w:val="24"/>
        </w:rPr>
        <w:t xml:space="preserve">, I implore you to recognize the importance of dietary supplementation and the scientific evidence from the FDA that shows there is no correlation between dietary supplement use and eating disorders </w:t>
      </w:r>
      <w:r w:rsidR="005762E7">
        <w:rPr>
          <w:rFonts w:ascii="Times New Roman" w:hAnsi="Times New Roman" w:cs="Times New Roman"/>
          <w:sz w:val="24"/>
          <w:szCs w:val="24"/>
        </w:rPr>
        <w:t>and veto</w:t>
      </w:r>
      <w:r w:rsidRPr="00F92156">
        <w:rPr>
          <w:rFonts w:ascii="Times New Roman" w:hAnsi="Times New Roman" w:cs="Times New Roman"/>
          <w:sz w:val="24"/>
          <w:szCs w:val="24"/>
        </w:rPr>
        <w:t xml:space="preserve"> AB 1341.</w:t>
      </w:r>
    </w:p>
    <w:p w14:paraId="3CE98334" w14:textId="77777777" w:rsidR="008E2136" w:rsidRDefault="008E2136" w:rsidP="00F92156">
      <w:pPr>
        <w:pStyle w:val="NoSpacing"/>
        <w:jc w:val="both"/>
        <w:rPr>
          <w:rFonts w:ascii="Times New Roman" w:hAnsi="Times New Roman" w:cs="Times New Roman"/>
          <w:sz w:val="24"/>
          <w:szCs w:val="24"/>
        </w:rPr>
      </w:pPr>
    </w:p>
    <w:p w14:paraId="603BADBB" w14:textId="77777777" w:rsidR="008E2136" w:rsidRDefault="008E2136" w:rsidP="00F92156">
      <w:pPr>
        <w:pStyle w:val="NoSpacing"/>
        <w:jc w:val="both"/>
        <w:rPr>
          <w:rFonts w:ascii="Times New Roman" w:hAnsi="Times New Roman" w:cs="Times New Roman"/>
          <w:sz w:val="24"/>
          <w:szCs w:val="24"/>
        </w:rPr>
      </w:pPr>
      <w:r>
        <w:rPr>
          <w:rFonts w:ascii="Times New Roman" w:hAnsi="Times New Roman" w:cs="Times New Roman"/>
          <w:sz w:val="24"/>
          <w:szCs w:val="24"/>
        </w:rPr>
        <w:t>In addition, NPA would ask you to focus on the legal infirmities of AB 1341, including the following examples:</w:t>
      </w:r>
    </w:p>
    <w:p w14:paraId="08FAFA46" w14:textId="77777777" w:rsidR="008E2136" w:rsidRDefault="008E2136" w:rsidP="00F92156">
      <w:pPr>
        <w:pStyle w:val="NoSpacing"/>
        <w:jc w:val="both"/>
        <w:rPr>
          <w:rFonts w:ascii="Times New Roman" w:hAnsi="Times New Roman" w:cs="Times New Roman"/>
          <w:sz w:val="24"/>
          <w:szCs w:val="24"/>
        </w:rPr>
      </w:pPr>
    </w:p>
    <w:p w14:paraId="16A7256C" w14:textId="7F732D55" w:rsidR="00AC309A" w:rsidRDefault="008E2136" w:rsidP="00AC309A">
      <w:pPr>
        <w:spacing w:after="0" w:line="240" w:lineRule="auto"/>
        <w:jc w:val="both"/>
        <w:textAlignment w:val="baseline"/>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First, AB 1341 is preempted by federal law. </w:t>
      </w:r>
      <w:r w:rsidR="00AC309A" w:rsidRPr="002B34BF">
        <w:rPr>
          <w:rFonts w:ascii="Times New Roman" w:hAnsi="Times New Roman" w:cs="Times New Roman"/>
          <w:sz w:val="24"/>
          <w:szCs w:val="24"/>
        </w:rPr>
        <w:t>In passing the Food, Drug, and Cosmetic Act (</w:t>
      </w:r>
      <w:r w:rsidR="00F41D3F">
        <w:rPr>
          <w:rFonts w:ascii="Times New Roman" w:hAnsi="Times New Roman" w:cs="Times New Roman"/>
          <w:sz w:val="24"/>
          <w:szCs w:val="24"/>
        </w:rPr>
        <w:t>"</w:t>
      </w:r>
      <w:r w:rsidR="00AC309A" w:rsidRPr="002B34BF">
        <w:rPr>
          <w:rFonts w:ascii="Times New Roman" w:hAnsi="Times New Roman" w:cs="Times New Roman"/>
          <w:sz w:val="24"/>
          <w:szCs w:val="24"/>
        </w:rPr>
        <w:t>FDCA</w:t>
      </w:r>
      <w:r w:rsidR="00F41D3F">
        <w:rPr>
          <w:rFonts w:ascii="Times New Roman" w:hAnsi="Times New Roman" w:cs="Times New Roman"/>
          <w:sz w:val="24"/>
          <w:szCs w:val="24"/>
        </w:rPr>
        <w:t>"</w:t>
      </w:r>
      <w:r w:rsidR="00AC309A" w:rsidRPr="002B34BF">
        <w:rPr>
          <w:rFonts w:ascii="Times New Roman" w:hAnsi="Times New Roman" w:cs="Times New Roman"/>
          <w:sz w:val="24"/>
          <w:szCs w:val="24"/>
        </w:rPr>
        <w:t>),</w:t>
      </w:r>
      <w:r w:rsidR="00AC309A">
        <w:rPr>
          <w:rStyle w:val="FootnoteReference"/>
          <w:rFonts w:ascii="Times New Roman" w:hAnsi="Times New Roman" w:cs="Times New Roman"/>
          <w:sz w:val="24"/>
          <w:szCs w:val="24"/>
        </w:rPr>
        <w:footnoteReference w:id="2"/>
      </w:r>
      <w:r w:rsidR="00AC309A" w:rsidRPr="002B34BF">
        <w:rPr>
          <w:rFonts w:ascii="Times New Roman" w:hAnsi="Times New Roman" w:cs="Times New Roman"/>
          <w:sz w:val="24"/>
          <w:szCs w:val="24"/>
        </w:rPr>
        <w:t xml:space="preserve"> Congress charged the </w:t>
      </w:r>
      <w:r w:rsidR="00AC309A">
        <w:rPr>
          <w:rFonts w:ascii="Times New Roman" w:hAnsi="Times New Roman" w:cs="Times New Roman"/>
          <w:sz w:val="24"/>
          <w:szCs w:val="24"/>
        </w:rPr>
        <w:t>FDA</w:t>
      </w:r>
      <w:r w:rsidR="00AC309A" w:rsidRPr="002B34BF">
        <w:rPr>
          <w:rFonts w:ascii="Times New Roman" w:hAnsi="Times New Roman" w:cs="Times New Roman"/>
          <w:sz w:val="24"/>
          <w:szCs w:val="24"/>
        </w:rPr>
        <w:t xml:space="preserve"> to </w:t>
      </w:r>
      <w:r w:rsidR="00F41D3F">
        <w:rPr>
          <w:rFonts w:ascii="Times New Roman" w:hAnsi="Times New Roman" w:cs="Times New Roman"/>
          <w:sz w:val="24"/>
          <w:szCs w:val="24"/>
        </w:rPr>
        <w:t>"</w:t>
      </w:r>
      <w:r w:rsidR="00AC309A" w:rsidRPr="002B34BF">
        <w:rPr>
          <w:rFonts w:ascii="Times New Roman" w:hAnsi="Times New Roman" w:cs="Times New Roman"/>
          <w:sz w:val="24"/>
          <w:szCs w:val="24"/>
        </w:rPr>
        <w:t>protect the public health</w:t>
      </w:r>
      <w:r w:rsidR="00F41D3F">
        <w:rPr>
          <w:rFonts w:ascii="Times New Roman" w:hAnsi="Times New Roman" w:cs="Times New Roman"/>
          <w:sz w:val="24"/>
          <w:szCs w:val="24"/>
        </w:rPr>
        <w:t>"</w:t>
      </w:r>
      <w:r w:rsidR="00AC309A" w:rsidRPr="002B34BF">
        <w:rPr>
          <w:rFonts w:ascii="Times New Roman" w:hAnsi="Times New Roman" w:cs="Times New Roman"/>
          <w:sz w:val="24"/>
          <w:szCs w:val="24"/>
        </w:rPr>
        <w:t xml:space="preserve"> by ensuring that </w:t>
      </w:r>
      <w:r w:rsidR="00F41D3F">
        <w:rPr>
          <w:rFonts w:ascii="Times New Roman" w:hAnsi="Times New Roman" w:cs="Times New Roman"/>
          <w:sz w:val="24"/>
          <w:szCs w:val="24"/>
        </w:rPr>
        <w:t>"</w:t>
      </w:r>
      <w:r w:rsidR="00AC309A" w:rsidRPr="002B34BF">
        <w:rPr>
          <w:rFonts w:ascii="Times New Roman" w:hAnsi="Times New Roman" w:cs="Times New Roman"/>
          <w:sz w:val="24"/>
          <w:szCs w:val="24"/>
        </w:rPr>
        <w:t>foods are safe, wholesome, sanitary, and properly labeled.</w:t>
      </w:r>
      <w:r w:rsidR="00F41D3F">
        <w:rPr>
          <w:rFonts w:ascii="Times New Roman" w:hAnsi="Times New Roman" w:cs="Times New Roman"/>
          <w:sz w:val="24"/>
          <w:szCs w:val="24"/>
        </w:rPr>
        <w:t>"</w:t>
      </w:r>
      <w:r w:rsidR="00AC309A" w:rsidRPr="002B34BF">
        <w:rPr>
          <w:rFonts w:ascii="Times New Roman" w:hAnsi="Times New Roman" w:cs="Times New Roman"/>
          <w:sz w:val="24"/>
          <w:szCs w:val="24"/>
        </w:rPr>
        <w:t xml:space="preserve"> 21 U.S.C. § 393(b)(2)(A). In 1994, the FDCA was further amended with DSHEA.</w:t>
      </w:r>
      <w:r w:rsidR="00AC309A">
        <w:rPr>
          <w:rStyle w:val="FootnoteReference"/>
          <w:rFonts w:ascii="Times New Roman" w:hAnsi="Times New Roman" w:cs="Times New Roman"/>
          <w:sz w:val="24"/>
          <w:szCs w:val="24"/>
        </w:rPr>
        <w:footnoteReference w:id="3"/>
      </w:r>
      <w:r w:rsidR="00AC309A" w:rsidRPr="002B34BF">
        <w:rPr>
          <w:rFonts w:ascii="Times New Roman" w:hAnsi="Times New Roman" w:cs="Times New Roman"/>
          <w:sz w:val="24"/>
          <w:szCs w:val="24"/>
        </w:rPr>
        <w:t xml:space="preserve"> DSHEA established a new category of food products – dietary supplements – that have unique, comprehensive safety, labeling, manufacturing, and other related standards.</w:t>
      </w:r>
      <w:r w:rsidR="00AC309A" w:rsidRPr="002B34BF">
        <w:rPr>
          <w:rFonts w:ascii="Times New Roman" w:eastAsia="Times New Roman" w:hAnsi="Times New Roman" w:cs="Times New Roman"/>
          <w:color w:val="000000"/>
          <w:sz w:val="24"/>
          <w:szCs w:val="24"/>
        </w:rPr>
        <w:t xml:space="preserve"> DSHEA was introduced to counteract unnecessarily stringent federal intervention into the manufacturing, sale, and labeling of dietary supplements. </w:t>
      </w:r>
      <w:r w:rsidR="00AC309A" w:rsidRPr="002B34BF">
        <w:rPr>
          <w:rFonts w:ascii="Times New Roman" w:eastAsia="Times New Roman" w:hAnsi="Times New Roman" w:cs="Times New Roman"/>
          <w:i/>
          <w:color w:val="000000"/>
          <w:sz w:val="24"/>
          <w:szCs w:val="24"/>
        </w:rPr>
        <w:t>See, e.g</w:t>
      </w:r>
      <w:r w:rsidR="00AC309A" w:rsidRPr="002B34BF">
        <w:rPr>
          <w:rFonts w:ascii="Times New Roman" w:eastAsia="Times New Roman" w:hAnsi="Times New Roman" w:cs="Times New Roman"/>
          <w:color w:val="000000"/>
          <w:sz w:val="24"/>
          <w:szCs w:val="24"/>
        </w:rPr>
        <w:t>., 103 CONG. REC. S17049 (daily ed. Nov. 23, 1993) (statement of Sen. Hatch).</w:t>
      </w:r>
      <w:r w:rsidR="00AC309A">
        <w:rPr>
          <w:rFonts w:ascii="Times New Roman" w:eastAsia="Times New Roman" w:hAnsi="Times New Roman" w:cs="Times New Roman"/>
          <w:color w:val="000000"/>
          <w:sz w:val="24"/>
          <w:szCs w:val="24"/>
        </w:rPr>
        <w:t xml:space="preserve"> Since its passage, t</w:t>
      </w:r>
      <w:r w:rsidR="00AC309A" w:rsidRPr="002B34BF">
        <w:rPr>
          <w:rFonts w:ascii="Times New Roman" w:eastAsia="Times New Roman" w:hAnsi="Times New Roman" w:cs="Times New Roman"/>
          <w:color w:val="000000"/>
          <w:sz w:val="24"/>
          <w:szCs w:val="24"/>
        </w:rPr>
        <w:t xml:space="preserve">he FDA has recognized that </w:t>
      </w:r>
      <w:r w:rsidR="00F41D3F">
        <w:rPr>
          <w:rFonts w:ascii="Times New Roman" w:eastAsia="Times New Roman" w:hAnsi="Times New Roman" w:cs="Times New Roman"/>
          <w:color w:val="000000"/>
          <w:sz w:val="24"/>
          <w:szCs w:val="24"/>
        </w:rPr>
        <w:t>"</w:t>
      </w:r>
      <w:r w:rsidR="00AC309A" w:rsidRPr="002B34BF">
        <w:rPr>
          <w:rFonts w:ascii="Times New Roman" w:eastAsia="Times New Roman" w:hAnsi="Times New Roman" w:cs="Times New Roman"/>
          <w:color w:val="000000"/>
          <w:sz w:val="24"/>
          <w:szCs w:val="24"/>
        </w:rPr>
        <w:t>DSHEA</w:t>
      </w:r>
      <w:r w:rsidR="00F41D3F">
        <w:rPr>
          <w:rFonts w:ascii="Times New Roman" w:eastAsia="Times New Roman" w:hAnsi="Times New Roman" w:cs="Times New Roman"/>
          <w:color w:val="000000"/>
          <w:sz w:val="24"/>
          <w:szCs w:val="24"/>
        </w:rPr>
        <w:t>'</w:t>
      </w:r>
      <w:r w:rsidR="00AC309A" w:rsidRPr="002B34BF">
        <w:rPr>
          <w:rFonts w:ascii="Times New Roman" w:eastAsia="Times New Roman" w:hAnsi="Times New Roman" w:cs="Times New Roman"/>
          <w:color w:val="000000"/>
          <w:sz w:val="24"/>
          <w:szCs w:val="24"/>
        </w:rPr>
        <w:t>s purpose [is] to broaden the scope of labeling claims that may be made for dietary supplements without subjecting them to regulation as drugs.</w:t>
      </w:r>
      <w:r w:rsidR="00F41D3F">
        <w:rPr>
          <w:rFonts w:ascii="Times New Roman" w:eastAsia="Times New Roman" w:hAnsi="Times New Roman" w:cs="Times New Roman"/>
          <w:color w:val="000000"/>
          <w:sz w:val="24"/>
          <w:szCs w:val="24"/>
        </w:rPr>
        <w:t>"</w:t>
      </w:r>
      <w:r w:rsidR="00AC309A" w:rsidRPr="002B34BF">
        <w:rPr>
          <w:rFonts w:ascii="Times New Roman" w:eastAsia="Times New Roman" w:hAnsi="Times New Roman" w:cs="Times New Roman"/>
          <w:color w:val="000000"/>
          <w:sz w:val="24"/>
          <w:szCs w:val="24"/>
        </w:rPr>
        <w:t xml:space="preserve"> 65 Fed. Reg. 1000-01, 2000 WL 4559, *1024.</w:t>
      </w:r>
      <w:r w:rsidR="00AC309A">
        <w:rPr>
          <w:rFonts w:ascii="Times New Roman" w:eastAsia="Times New Roman" w:hAnsi="Times New Roman" w:cs="Times New Roman"/>
          <w:color w:val="000000"/>
          <w:sz w:val="24"/>
          <w:szCs w:val="24"/>
        </w:rPr>
        <w:t xml:space="preserve"> By requiring some consumers to have a prescription to purchase certain dietary supplements, AB 1341 treats supplements the same as drugs, which is contrary to federal law</w:t>
      </w:r>
      <w:r w:rsidR="0086636D">
        <w:rPr>
          <w:rFonts w:ascii="Times New Roman" w:eastAsia="Times New Roman" w:hAnsi="Times New Roman" w:cs="Times New Roman"/>
          <w:color w:val="000000"/>
          <w:sz w:val="24"/>
          <w:szCs w:val="24"/>
        </w:rPr>
        <w:t xml:space="preserve">. The bill should be vetoed as preempted. </w:t>
      </w:r>
    </w:p>
    <w:p w14:paraId="23B80E31" w14:textId="00C6058D" w:rsidR="0086636D" w:rsidRDefault="0086636D" w:rsidP="00AC309A">
      <w:pPr>
        <w:spacing w:after="0" w:line="240" w:lineRule="auto"/>
        <w:jc w:val="both"/>
        <w:textAlignment w:val="baseline"/>
        <w:rPr>
          <w:rFonts w:ascii="Times New Roman" w:eastAsia="Times New Roman" w:hAnsi="Times New Roman" w:cs="Times New Roman"/>
          <w:color w:val="000000"/>
          <w:sz w:val="24"/>
          <w:szCs w:val="24"/>
        </w:rPr>
      </w:pPr>
    </w:p>
    <w:p w14:paraId="5F0B09F8" w14:textId="2A0EB443" w:rsidR="007E0C8D" w:rsidRDefault="0086636D" w:rsidP="00AC309A">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Second, AB 1341 is vague and ambiguous as to what products it covers.</w:t>
      </w:r>
      <w:r w:rsidR="00FA45F4">
        <w:rPr>
          <w:rFonts w:ascii="Times New Roman" w:eastAsia="Times New Roman" w:hAnsi="Times New Roman" w:cs="Times New Roman"/>
          <w:color w:val="000000"/>
          <w:sz w:val="24"/>
          <w:szCs w:val="24"/>
        </w:rPr>
        <w:t xml:space="preserve"> Section 1(a)(1) of the bill provides, in relevant part: </w:t>
      </w:r>
      <w:r w:rsidR="00F41D3F">
        <w:rPr>
          <w:rFonts w:ascii="Times New Roman" w:eastAsia="Times New Roman" w:hAnsi="Times New Roman" w:cs="Times New Roman"/>
          <w:color w:val="000000"/>
          <w:sz w:val="24"/>
          <w:szCs w:val="24"/>
        </w:rPr>
        <w:t>"</w:t>
      </w:r>
      <w:r w:rsidR="00FA45F4" w:rsidRPr="00FA45F4">
        <w:rPr>
          <w:rFonts w:ascii="Times New Roman" w:eastAsia="Times New Roman" w:hAnsi="Times New Roman" w:cs="Times New Roman"/>
          <w:color w:val="000000"/>
          <w:sz w:val="24"/>
          <w:szCs w:val="24"/>
        </w:rPr>
        <w:t>Dietary supplements for weight loss</w:t>
      </w:r>
      <w:r w:rsidR="00F41D3F">
        <w:rPr>
          <w:rFonts w:ascii="Times New Roman" w:eastAsia="Times New Roman" w:hAnsi="Times New Roman" w:cs="Times New Roman"/>
          <w:color w:val="000000"/>
          <w:sz w:val="24"/>
          <w:szCs w:val="24"/>
        </w:rPr>
        <w:t>'</w:t>
      </w:r>
      <w:r w:rsidR="00FA45F4" w:rsidRPr="00FA45F4">
        <w:rPr>
          <w:rFonts w:ascii="Times New Roman" w:eastAsia="Times New Roman" w:hAnsi="Times New Roman" w:cs="Times New Roman"/>
          <w:color w:val="000000"/>
          <w:sz w:val="24"/>
          <w:szCs w:val="24"/>
        </w:rPr>
        <w:t xml:space="preserve"> means a class of dietary supplements that are </w:t>
      </w:r>
      <w:r w:rsidR="00FA45F4" w:rsidRPr="00592D19">
        <w:rPr>
          <w:rFonts w:ascii="Times New Roman" w:eastAsia="Times New Roman" w:hAnsi="Times New Roman" w:cs="Times New Roman"/>
          <w:b/>
          <w:bCs/>
          <w:color w:val="000000"/>
          <w:sz w:val="24"/>
          <w:szCs w:val="24"/>
        </w:rPr>
        <w:t>labeled, marketed, or otherwise represented for the purpose of achieving weight loss</w:t>
      </w:r>
      <w:r w:rsidR="00FA45F4" w:rsidRPr="00FA45F4">
        <w:rPr>
          <w:rFonts w:ascii="Times New Roman" w:eastAsia="Times New Roman" w:hAnsi="Times New Roman" w:cs="Times New Roman"/>
          <w:color w:val="000000"/>
          <w:sz w:val="24"/>
          <w:szCs w:val="24"/>
        </w:rPr>
        <w:t xml:space="preserve"> and that are under the regulation of the Federal Food, Drug, and Cosmetic Act (21 U.S.C. Sec. 301 et seq.), and regulations adopted thereunder. </w:t>
      </w:r>
      <w:r w:rsidR="00F41D3F">
        <w:rPr>
          <w:rFonts w:ascii="Times New Roman" w:eastAsia="Times New Roman" w:hAnsi="Times New Roman" w:cs="Times New Roman"/>
          <w:color w:val="000000"/>
          <w:sz w:val="24"/>
          <w:szCs w:val="24"/>
        </w:rPr>
        <w:t>'</w:t>
      </w:r>
      <w:r w:rsidR="00FA45F4" w:rsidRPr="00FA45F4">
        <w:rPr>
          <w:rFonts w:ascii="Times New Roman" w:eastAsia="Times New Roman" w:hAnsi="Times New Roman" w:cs="Times New Roman"/>
          <w:color w:val="000000"/>
          <w:sz w:val="24"/>
          <w:szCs w:val="24"/>
        </w:rPr>
        <w:t>Dietary supplements for weight loss</w:t>
      </w:r>
      <w:r w:rsidR="00F41D3F">
        <w:rPr>
          <w:rFonts w:ascii="Times New Roman" w:eastAsia="Times New Roman" w:hAnsi="Times New Roman" w:cs="Times New Roman"/>
          <w:color w:val="000000"/>
          <w:sz w:val="24"/>
          <w:szCs w:val="24"/>
        </w:rPr>
        <w:t>'</w:t>
      </w:r>
      <w:r w:rsidR="00FA45F4" w:rsidRPr="00FA45F4">
        <w:rPr>
          <w:rFonts w:ascii="Times New Roman" w:eastAsia="Times New Roman" w:hAnsi="Times New Roman" w:cs="Times New Roman"/>
          <w:color w:val="000000"/>
          <w:sz w:val="24"/>
          <w:szCs w:val="24"/>
        </w:rPr>
        <w:t xml:space="preserve"> </w:t>
      </w:r>
    </w:p>
    <w:p w14:paraId="67ED8F7B" w14:textId="77777777" w:rsidR="00592D19" w:rsidRDefault="00FA45F4" w:rsidP="00AC309A">
      <w:pPr>
        <w:spacing w:after="0" w:line="240" w:lineRule="auto"/>
        <w:jc w:val="both"/>
        <w:textAlignment w:val="baseline"/>
        <w:rPr>
          <w:rFonts w:ascii="Times New Roman" w:eastAsia="Times New Roman" w:hAnsi="Times New Roman" w:cs="Times New Roman"/>
          <w:color w:val="000000"/>
          <w:sz w:val="24"/>
          <w:szCs w:val="24"/>
        </w:rPr>
      </w:pPr>
      <w:r w:rsidRPr="00FA45F4">
        <w:rPr>
          <w:rFonts w:ascii="Times New Roman" w:eastAsia="Times New Roman" w:hAnsi="Times New Roman" w:cs="Times New Roman"/>
          <w:color w:val="000000"/>
          <w:sz w:val="24"/>
          <w:szCs w:val="24"/>
        </w:rPr>
        <w:t>includes products marketed with a Supplement Facts panel, pursuant to federal regulations, that contain either lawful dietary ingredients or ingredients deemed adulterated under Section 342</w:t>
      </w:r>
      <w:r w:rsidR="007E0C8D">
        <w:rPr>
          <w:rFonts w:ascii="Times New Roman" w:eastAsia="Times New Roman" w:hAnsi="Times New Roman" w:cs="Times New Roman"/>
          <w:color w:val="000000"/>
          <w:sz w:val="24"/>
          <w:szCs w:val="24"/>
        </w:rPr>
        <w:t xml:space="preserve"> </w:t>
      </w:r>
      <w:r w:rsidRPr="00FA45F4">
        <w:rPr>
          <w:rFonts w:ascii="Times New Roman" w:eastAsia="Times New Roman" w:hAnsi="Times New Roman" w:cs="Times New Roman"/>
          <w:color w:val="000000"/>
          <w:sz w:val="24"/>
          <w:szCs w:val="24"/>
        </w:rPr>
        <w:t xml:space="preserve">of </w:t>
      </w:r>
    </w:p>
    <w:p w14:paraId="4C007EE8" w14:textId="77777777" w:rsidR="00592D19" w:rsidRDefault="00592D19" w:rsidP="00AC309A">
      <w:pPr>
        <w:spacing w:after="0" w:line="240" w:lineRule="auto"/>
        <w:jc w:val="both"/>
        <w:textAlignment w:val="baseline"/>
        <w:rPr>
          <w:rFonts w:ascii="Times New Roman" w:eastAsia="Times New Roman" w:hAnsi="Times New Roman" w:cs="Times New Roman"/>
          <w:color w:val="000000"/>
          <w:sz w:val="24"/>
          <w:szCs w:val="24"/>
        </w:rPr>
      </w:pPr>
    </w:p>
    <w:p w14:paraId="296BC0DE" w14:textId="77777777" w:rsidR="005762E7" w:rsidRDefault="005762E7" w:rsidP="00AC309A">
      <w:pPr>
        <w:spacing w:after="0" w:line="240" w:lineRule="auto"/>
        <w:jc w:val="both"/>
        <w:textAlignment w:val="baseline"/>
        <w:rPr>
          <w:rFonts w:ascii="Times New Roman" w:eastAsia="Times New Roman" w:hAnsi="Times New Roman" w:cs="Times New Roman"/>
          <w:color w:val="000000"/>
          <w:sz w:val="24"/>
          <w:szCs w:val="24"/>
        </w:rPr>
      </w:pPr>
    </w:p>
    <w:p w14:paraId="226C9897" w14:textId="77777777" w:rsidR="005762E7" w:rsidRDefault="005762E7" w:rsidP="00AC309A">
      <w:pPr>
        <w:spacing w:after="0" w:line="240" w:lineRule="auto"/>
        <w:jc w:val="both"/>
        <w:textAlignment w:val="baseline"/>
        <w:rPr>
          <w:rFonts w:ascii="Times New Roman" w:eastAsia="Times New Roman" w:hAnsi="Times New Roman" w:cs="Times New Roman"/>
          <w:color w:val="000000"/>
          <w:sz w:val="24"/>
          <w:szCs w:val="24"/>
        </w:rPr>
      </w:pPr>
    </w:p>
    <w:p w14:paraId="47CF9297" w14:textId="14D74D70" w:rsidR="0086636D" w:rsidRDefault="00FA45F4" w:rsidP="00AC309A">
      <w:pPr>
        <w:spacing w:after="0" w:line="240" w:lineRule="auto"/>
        <w:jc w:val="both"/>
        <w:textAlignment w:val="baseline"/>
        <w:rPr>
          <w:rFonts w:ascii="Times New Roman" w:eastAsia="Times New Roman" w:hAnsi="Times New Roman" w:cs="Times New Roman"/>
          <w:color w:val="000000"/>
          <w:sz w:val="24"/>
          <w:szCs w:val="24"/>
        </w:rPr>
      </w:pPr>
      <w:r w:rsidRPr="00FA45F4">
        <w:rPr>
          <w:rFonts w:ascii="Times New Roman" w:eastAsia="Times New Roman" w:hAnsi="Times New Roman" w:cs="Times New Roman"/>
          <w:color w:val="000000"/>
          <w:sz w:val="24"/>
          <w:szCs w:val="24"/>
        </w:rPr>
        <w:t>Title 21 of the United States Code, or both.</w:t>
      </w:r>
      <w:r w:rsidR="00F41D3F">
        <w:rPr>
          <w:rFonts w:ascii="Times New Roman" w:eastAsia="Times New Roman" w:hAnsi="Times New Roman" w:cs="Times New Roman"/>
          <w:color w:val="000000"/>
          <w:sz w:val="24"/>
          <w:szCs w:val="24"/>
        </w:rPr>
        <w:t>"</w:t>
      </w:r>
      <w:r w:rsidR="006D40BD">
        <w:rPr>
          <w:rFonts w:ascii="Times New Roman" w:eastAsia="Times New Roman" w:hAnsi="Times New Roman" w:cs="Times New Roman"/>
          <w:color w:val="000000"/>
          <w:sz w:val="24"/>
          <w:szCs w:val="24"/>
        </w:rPr>
        <w:t xml:space="preserve"> (Emphasis added.) This definition with the emphasized language seems to mean that dietary supplements that represent to the public that they are intended for </w:t>
      </w:r>
      <w:r w:rsidR="00F41D3F">
        <w:rPr>
          <w:rFonts w:ascii="Times New Roman" w:eastAsia="Times New Roman" w:hAnsi="Times New Roman" w:cs="Times New Roman"/>
          <w:color w:val="000000"/>
          <w:sz w:val="24"/>
          <w:szCs w:val="24"/>
        </w:rPr>
        <w:t>"</w:t>
      </w:r>
      <w:r w:rsidR="006D40BD">
        <w:rPr>
          <w:rFonts w:ascii="Times New Roman" w:eastAsia="Times New Roman" w:hAnsi="Times New Roman" w:cs="Times New Roman"/>
          <w:color w:val="000000"/>
          <w:sz w:val="24"/>
          <w:szCs w:val="24"/>
        </w:rPr>
        <w:t>weight loss</w:t>
      </w:r>
      <w:r w:rsidR="00F41D3F">
        <w:rPr>
          <w:rFonts w:ascii="Times New Roman" w:eastAsia="Times New Roman" w:hAnsi="Times New Roman" w:cs="Times New Roman"/>
          <w:color w:val="000000"/>
          <w:sz w:val="24"/>
          <w:szCs w:val="24"/>
        </w:rPr>
        <w:t>"</w:t>
      </w:r>
      <w:r w:rsidR="006D40BD">
        <w:rPr>
          <w:rFonts w:ascii="Times New Roman" w:eastAsia="Times New Roman" w:hAnsi="Times New Roman" w:cs="Times New Roman"/>
          <w:color w:val="000000"/>
          <w:sz w:val="24"/>
          <w:szCs w:val="24"/>
        </w:rPr>
        <w:t xml:space="preserve"> would be within the scope of and subject to </w:t>
      </w:r>
      <w:r w:rsidR="00152DED">
        <w:rPr>
          <w:rFonts w:ascii="Times New Roman" w:eastAsia="Times New Roman" w:hAnsi="Times New Roman" w:cs="Times New Roman"/>
          <w:color w:val="000000"/>
          <w:sz w:val="24"/>
          <w:szCs w:val="24"/>
        </w:rPr>
        <w:t xml:space="preserve">the legislation. However, that definition is </w:t>
      </w:r>
      <w:r w:rsidR="000249F1">
        <w:rPr>
          <w:rFonts w:ascii="Times New Roman" w:eastAsia="Times New Roman" w:hAnsi="Times New Roman" w:cs="Times New Roman"/>
          <w:color w:val="000000"/>
          <w:sz w:val="24"/>
          <w:szCs w:val="24"/>
        </w:rPr>
        <w:t xml:space="preserve">expressly contradicted by </w:t>
      </w:r>
      <w:r w:rsidR="00152DED">
        <w:rPr>
          <w:rFonts w:ascii="Times New Roman" w:eastAsia="Times New Roman" w:hAnsi="Times New Roman" w:cs="Times New Roman"/>
          <w:color w:val="000000"/>
          <w:sz w:val="24"/>
          <w:szCs w:val="24"/>
        </w:rPr>
        <w:t>section 1(d) of AB 1341</w:t>
      </w:r>
      <w:r w:rsidR="000249F1">
        <w:rPr>
          <w:rFonts w:ascii="Times New Roman" w:eastAsia="Times New Roman" w:hAnsi="Times New Roman" w:cs="Times New Roman"/>
          <w:color w:val="000000"/>
          <w:sz w:val="24"/>
          <w:szCs w:val="24"/>
        </w:rPr>
        <w:t>, which</w:t>
      </w:r>
      <w:r w:rsidR="00152DED">
        <w:rPr>
          <w:rFonts w:ascii="Times New Roman" w:eastAsia="Times New Roman" w:hAnsi="Times New Roman" w:cs="Times New Roman"/>
          <w:color w:val="000000"/>
          <w:sz w:val="24"/>
          <w:szCs w:val="24"/>
        </w:rPr>
        <w:t xml:space="preserve"> provides: </w:t>
      </w:r>
      <w:r w:rsidR="00F41D3F">
        <w:rPr>
          <w:rFonts w:ascii="Times New Roman" w:eastAsia="Times New Roman" w:hAnsi="Times New Roman" w:cs="Times New Roman"/>
          <w:color w:val="000000"/>
          <w:sz w:val="24"/>
          <w:szCs w:val="24"/>
        </w:rPr>
        <w:t>"</w:t>
      </w:r>
      <w:r w:rsidR="00152DED" w:rsidRPr="00152DED">
        <w:rPr>
          <w:rFonts w:ascii="Times New Roman" w:eastAsia="Times New Roman" w:hAnsi="Times New Roman" w:cs="Times New Roman"/>
          <w:color w:val="000000"/>
          <w:sz w:val="24"/>
          <w:szCs w:val="24"/>
        </w:rPr>
        <w:t xml:space="preserve">The State Department of Public Health, in consultation with the United States Food and Drug Administration and stakeholders, including, but not limited to, representatives from the eating disorders community, </w:t>
      </w:r>
      <w:r w:rsidR="00152DED" w:rsidRPr="00592D19">
        <w:rPr>
          <w:rFonts w:ascii="Times New Roman" w:eastAsia="Times New Roman" w:hAnsi="Times New Roman" w:cs="Times New Roman"/>
          <w:b/>
          <w:bCs/>
          <w:color w:val="000000"/>
          <w:sz w:val="24"/>
          <w:szCs w:val="24"/>
        </w:rPr>
        <w:t>shall determine which dietary supplements for weight loss and over-the-counter diet pills shall be subject to this section</w:t>
      </w:r>
      <w:r w:rsidR="00152DED" w:rsidRPr="00152DED">
        <w:rPr>
          <w:rFonts w:ascii="Times New Roman" w:eastAsia="Times New Roman" w:hAnsi="Times New Roman" w:cs="Times New Roman"/>
          <w:color w:val="000000"/>
          <w:sz w:val="24"/>
          <w:szCs w:val="24"/>
        </w:rPr>
        <w:t>, in a manner consistent with the definitions in subdivision (a) and with a finding that the supplement or pill may contribute to any of the health conditions described in paragraph (2) of subdivision (c).</w:t>
      </w:r>
      <w:r w:rsidR="00F41D3F">
        <w:rPr>
          <w:rFonts w:ascii="Times New Roman" w:eastAsia="Times New Roman" w:hAnsi="Times New Roman" w:cs="Times New Roman"/>
          <w:color w:val="000000"/>
          <w:sz w:val="24"/>
          <w:szCs w:val="24"/>
        </w:rPr>
        <w:t>"</w:t>
      </w:r>
      <w:r w:rsidR="0086636D">
        <w:rPr>
          <w:rFonts w:ascii="Times New Roman" w:eastAsia="Times New Roman" w:hAnsi="Times New Roman" w:cs="Times New Roman"/>
          <w:color w:val="000000"/>
          <w:sz w:val="24"/>
          <w:szCs w:val="24"/>
        </w:rPr>
        <w:t xml:space="preserve"> </w:t>
      </w:r>
      <w:r w:rsidR="00152DED">
        <w:rPr>
          <w:rFonts w:ascii="Times New Roman" w:eastAsia="Times New Roman" w:hAnsi="Times New Roman" w:cs="Times New Roman"/>
          <w:color w:val="000000"/>
          <w:sz w:val="24"/>
          <w:szCs w:val="24"/>
        </w:rPr>
        <w:t xml:space="preserve">(Emphasis added.) </w:t>
      </w:r>
      <w:r w:rsidR="000249F1">
        <w:rPr>
          <w:rFonts w:ascii="Times New Roman" w:eastAsia="Times New Roman" w:hAnsi="Times New Roman" w:cs="Times New Roman"/>
          <w:color w:val="000000"/>
          <w:sz w:val="24"/>
          <w:szCs w:val="24"/>
        </w:rPr>
        <w:t xml:space="preserve">Product sellers cannot be expected to comply with AB 1341 if it became law and operative on July 1, </w:t>
      </w:r>
      <w:proofErr w:type="gramStart"/>
      <w:r w:rsidR="000249F1">
        <w:rPr>
          <w:rFonts w:ascii="Times New Roman" w:eastAsia="Times New Roman" w:hAnsi="Times New Roman" w:cs="Times New Roman"/>
          <w:color w:val="000000"/>
          <w:sz w:val="24"/>
          <w:szCs w:val="24"/>
        </w:rPr>
        <w:t>2023</w:t>
      </w:r>
      <w:proofErr w:type="gramEnd"/>
      <w:r w:rsidR="002B2C64">
        <w:rPr>
          <w:rFonts w:ascii="Times New Roman" w:eastAsia="Times New Roman" w:hAnsi="Times New Roman" w:cs="Times New Roman"/>
          <w:color w:val="000000"/>
          <w:sz w:val="24"/>
          <w:szCs w:val="24"/>
        </w:rPr>
        <w:t xml:space="preserve"> w</w:t>
      </w:r>
      <w:r w:rsidR="000249F1">
        <w:rPr>
          <w:rFonts w:ascii="Times New Roman" w:eastAsia="Times New Roman" w:hAnsi="Times New Roman" w:cs="Times New Roman"/>
          <w:color w:val="000000"/>
          <w:sz w:val="24"/>
          <w:szCs w:val="24"/>
        </w:rPr>
        <w:t xml:space="preserve">ithout </w:t>
      </w:r>
      <w:r w:rsidR="002B2C64">
        <w:rPr>
          <w:rFonts w:ascii="Times New Roman" w:eastAsia="Times New Roman" w:hAnsi="Times New Roman" w:cs="Times New Roman"/>
          <w:color w:val="000000"/>
          <w:sz w:val="24"/>
          <w:szCs w:val="24"/>
        </w:rPr>
        <w:t>any clear definition of products covered.</w:t>
      </w:r>
    </w:p>
    <w:p w14:paraId="3216F85E" w14:textId="16E8BDB7" w:rsidR="002B2C64" w:rsidRDefault="002B2C64" w:rsidP="00AC309A">
      <w:pPr>
        <w:spacing w:after="0" w:line="240" w:lineRule="auto"/>
        <w:jc w:val="both"/>
        <w:textAlignment w:val="baseline"/>
        <w:rPr>
          <w:rFonts w:ascii="Times New Roman" w:eastAsia="Times New Roman" w:hAnsi="Times New Roman" w:cs="Times New Roman"/>
          <w:color w:val="000000"/>
          <w:sz w:val="24"/>
          <w:szCs w:val="24"/>
        </w:rPr>
      </w:pPr>
    </w:p>
    <w:p w14:paraId="6066ED0F" w14:textId="1BE42F94" w:rsidR="009A69C4" w:rsidRDefault="002B2C64" w:rsidP="009A69C4">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Third, section 1(d) raises other legal concerns. A state law cannot require the FDA to consult with a state agency or other stakeholders. </w:t>
      </w:r>
      <w:r w:rsidR="00F63397">
        <w:rPr>
          <w:rFonts w:ascii="Times New Roman" w:eastAsia="Times New Roman" w:hAnsi="Times New Roman" w:cs="Times New Roman"/>
          <w:color w:val="000000"/>
          <w:sz w:val="24"/>
          <w:szCs w:val="24"/>
        </w:rPr>
        <w:t xml:space="preserve">Further, there is no requirement that the Department of Public Health consult with the dietary supplement industry or consumers that have benefitted from supplement products. </w:t>
      </w:r>
      <w:r w:rsidR="00C654DE">
        <w:rPr>
          <w:rFonts w:ascii="Times New Roman" w:eastAsia="Times New Roman" w:hAnsi="Times New Roman" w:cs="Times New Roman"/>
          <w:color w:val="000000"/>
          <w:sz w:val="24"/>
          <w:szCs w:val="24"/>
        </w:rPr>
        <w:t>This section, read with the legislative history of AB 1341, would seem to require that dietary supplements containing caffeine and other safe and well-studied ingredients would be regulated and subject to mandatory warnings</w:t>
      </w:r>
      <w:r w:rsidR="003C63B0">
        <w:rPr>
          <w:rFonts w:ascii="Times New Roman" w:eastAsia="Times New Roman" w:hAnsi="Times New Roman" w:cs="Times New Roman"/>
          <w:color w:val="000000"/>
          <w:sz w:val="24"/>
          <w:szCs w:val="24"/>
        </w:rPr>
        <w:t xml:space="preserve">, that are inappropriate and a violation of the First Amendment. </w:t>
      </w:r>
      <w:r w:rsidR="00592D19" w:rsidRPr="00592D19">
        <w:rPr>
          <w:rFonts w:ascii="Times New Roman" w:eastAsia="Times New Roman" w:hAnsi="Times New Roman" w:cs="Times New Roman"/>
          <w:color w:val="000000"/>
          <w:sz w:val="24"/>
          <w:szCs w:val="24"/>
        </w:rPr>
        <w:t xml:space="preserve">Commercial speech is protected by the First Amendment. </w:t>
      </w:r>
      <w:r w:rsidR="00592D19" w:rsidRPr="00592D19">
        <w:rPr>
          <w:rFonts w:ascii="Times New Roman" w:eastAsia="Times New Roman" w:hAnsi="Times New Roman" w:cs="Times New Roman"/>
          <w:i/>
          <w:iCs/>
          <w:color w:val="000000"/>
          <w:sz w:val="24"/>
          <w:szCs w:val="24"/>
        </w:rPr>
        <w:t>See, e.g.</w:t>
      </w:r>
      <w:r w:rsidR="00592D19" w:rsidRPr="00592D19">
        <w:rPr>
          <w:rFonts w:ascii="Times New Roman" w:eastAsia="Times New Roman" w:hAnsi="Times New Roman" w:cs="Times New Roman"/>
          <w:color w:val="000000"/>
          <w:sz w:val="24"/>
          <w:szCs w:val="24"/>
        </w:rPr>
        <w:t xml:space="preserve">, </w:t>
      </w:r>
      <w:r w:rsidR="00592D19" w:rsidRPr="00592D19">
        <w:rPr>
          <w:rFonts w:ascii="Times New Roman" w:eastAsia="Times New Roman" w:hAnsi="Times New Roman" w:cs="Times New Roman"/>
          <w:i/>
          <w:iCs/>
          <w:color w:val="000000"/>
          <w:sz w:val="24"/>
          <w:szCs w:val="24"/>
        </w:rPr>
        <w:t>Va. State Bd. of Pharmacy v. Va. Citizens Consumer Council, Inc.</w:t>
      </w:r>
      <w:r w:rsidR="00592D19" w:rsidRPr="00592D19">
        <w:rPr>
          <w:rFonts w:ascii="Times New Roman" w:eastAsia="Times New Roman" w:hAnsi="Times New Roman" w:cs="Times New Roman"/>
          <w:color w:val="000000"/>
          <w:sz w:val="24"/>
          <w:szCs w:val="24"/>
        </w:rPr>
        <w:t>, 425 U.S. 748, 770</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 xml:space="preserve">(1976). This protection has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great relevance</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 xml:space="preserve"> in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the fields of medicine and public</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health.</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i/>
          <w:iCs/>
          <w:color w:val="000000"/>
          <w:sz w:val="24"/>
          <w:szCs w:val="24"/>
        </w:rPr>
        <w:t>Sorrell v. IMS Health Inc.</w:t>
      </w:r>
      <w:r w:rsidR="00940C3B" w:rsidRPr="00940C3B">
        <w:rPr>
          <w:rFonts w:ascii="Times New Roman" w:eastAsia="Times New Roman" w:hAnsi="Times New Roman" w:cs="Times New Roman"/>
          <w:color w:val="000000"/>
          <w:sz w:val="24"/>
          <w:szCs w:val="24"/>
        </w:rPr>
        <w:t>, 131 S. Ct. 2653, 2664 (2011). Any regulation</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 xml:space="preserve">limiting such </w:t>
      </w:r>
      <w:r w:rsidR="00940C3B">
        <w:rPr>
          <w:rFonts w:ascii="Times New Roman" w:eastAsia="Times New Roman" w:hAnsi="Times New Roman" w:cs="Times New Roman"/>
          <w:color w:val="000000"/>
          <w:sz w:val="24"/>
          <w:szCs w:val="24"/>
        </w:rPr>
        <w:t>speech</w:t>
      </w:r>
      <w:r w:rsidR="00940C3B" w:rsidRPr="00940C3B">
        <w:rPr>
          <w:rFonts w:ascii="Times New Roman" w:eastAsia="Times New Roman" w:hAnsi="Times New Roman" w:cs="Times New Roman"/>
          <w:color w:val="000000"/>
          <w:sz w:val="24"/>
          <w:szCs w:val="24"/>
        </w:rPr>
        <w:t xml:space="preserve"> can be upheld only if (1)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the asserted governmental interest</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is substantial</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 xml:space="preserve">; (2)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the regulation directly advances the governmental interest</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asserted</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 xml:space="preserve">; and (3)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it is not more extensive than is necessary to serve that interest.</w:t>
      </w:r>
      <w:r w:rsidR="00F41D3F">
        <w:rPr>
          <w:rFonts w:ascii="Times New Roman" w:eastAsia="Times New Roman" w:hAnsi="Times New Roman" w:cs="Times New Roman"/>
          <w:color w:val="000000"/>
          <w:sz w:val="24"/>
          <w:szCs w:val="24"/>
        </w:rPr>
        <w:t>"</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i/>
          <w:iCs/>
          <w:color w:val="000000"/>
          <w:sz w:val="24"/>
          <w:szCs w:val="24"/>
        </w:rPr>
        <w:t>Central Hudson Gas &amp; Elec. Corp. v. Public Serv. Comm</w:t>
      </w:r>
      <w:r w:rsidR="00F41D3F">
        <w:rPr>
          <w:rFonts w:ascii="Times New Roman" w:eastAsia="Times New Roman" w:hAnsi="Times New Roman" w:cs="Times New Roman"/>
          <w:i/>
          <w:iCs/>
          <w:color w:val="000000"/>
          <w:sz w:val="24"/>
          <w:szCs w:val="24"/>
        </w:rPr>
        <w:t>'</w:t>
      </w:r>
      <w:r w:rsidR="00940C3B" w:rsidRPr="00940C3B">
        <w:rPr>
          <w:rFonts w:ascii="Times New Roman" w:eastAsia="Times New Roman" w:hAnsi="Times New Roman" w:cs="Times New Roman"/>
          <w:i/>
          <w:iCs/>
          <w:color w:val="000000"/>
          <w:sz w:val="24"/>
          <w:szCs w:val="24"/>
        </w:rPr>
        <w:t>n</w:t>
      </w:r>
      <w:r w:rsidR="00940C3B" w:rsidRPr="00940C3B">
        <w:rPr>
          <w:rFonts w:ascii="Times New Roman" w:eastAsia="Times New Roman" w:hAnsi="Times New Roman" w:cs="Times New Roman"/>
          <w:color w:val="000000"/>
          <w:sz w:val="24"/>
          <w:szCs w:val="24"/>
        </w:rPr>
        <w:t>, 447 U.S. 557, 566</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 xml:space="preserve">(1980); </w:t>
      </w:r>
      <w:r w:rsidR="00940C3B" w:rsidRPr="00940C3B">
        <w:rPr>
          <w:rFonts w:ascii="Times New Roman" w:eastAsia="Times New Roman" w:hAnsi="Times New Roman" w:cs="Times New Roman"/>
          <w:i/>
          <w:iCs/>
          <w:color w:val="000000"/>
          <w:sz w:val="24"/>
          <w:szCs w:val="24"/>
        </w:rPr>
        <w:t>see also</w:t>
      </w:r>
      <w:r w:rsidR="00940C3B" w:rsidRP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i/>
          <w:iCs/>
          <w:color w:val="000000"/>
          <w:sz w:val="24"/>
          <w:szCs w:val="24"/>
        </w:rPr>
        <w:t>Sorrell</w:t>
      </w:r>
      <w:r w:rsidR="00940C3B" w:rsidRPr="00940C3B">
        <w:rPr>
          <w:rFonts w:ascii="Times New Roman" w:eastAsia="Times New Roman" w:hAnsi="Times New Roman" w:cs="Times New Roman"/>
          <w:color w:val="000000"/>
          <w:sz w:val="24"/>
          <w:szCs w:val="24"/>
        </w:rPr>
        <w:t>, 131 S. Ct. at 2659 (</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Speech in aid of pharmaceutical</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marketing ... is a form of expression protected by the . . . First Amendment</w:t>
      </w:r>
      <w:r w:rsidR="00F41D3F">
        <w:rPr>
          <w:rFonts w:ascii="Times New Roman" w:eastAsia="Times New Roman" w:hAnsi="Times New Roman" w:cs="Times New Roman"/>
          <w:color w:val="000000"/>
          <w:sz w:val="24"/>
          <w:szCs w:val="24"/>
        </w:rPr>
        <w:t>"</w:t>
      </w:r>
      <w:r w:rsidR="00940C3B" w:rsidRPr="00940C3B">
        <w:rPr>
          <w:rFonts w:ascii="Times New Roman" w:eastAsia="Times New Roman" w:hAnsi="Times New Roman" w:cs="Times New Roman"/>
          <w:color w:val="000000"/>
          <w:sz w:val="24"/>
          <w:szCs w:val="24"/>
        </w:rPr>
        <w:t xml:space="preserve"> and</w:t>
      </w:r>
      <w:r w:rsidR="00940C3B">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striking down a statute that burdened such speech).</w:t>
      </w:r>
      <w:r w:rsidR="009A69C4">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Any restriction on commercial speech must be no broader than</w:t>
      </w:r>
      <w:r w:rsidR="009A69C4">
        <w:rPr>
          <w:rFonts w:ascii="Times New Roman" w:eastAsia="Times New Roman" w:hAnsi="Times New Roman" w:cs="Times New Roman"/>
          <w:color w:val="000000"/>
          <w:sz w:val="24"/>
          <w:szCs w:val="24"/>
        </w:rPr>
        <w:t xml:space="preserve"> </w:t>
      </w:r>
      <w:r w:rsidR="00940C3B" w:rsidRPr="00940C3B">
        <w:rPr>
          <w:rFonts w:ascii="Times New Roman" w:eastAsia="Times New Roman" w:hAnsi="Times New Roman" w:cs="Times New Roman"/>
          <w:color w:val="000000"/>
          <w:sz w:val="24"/>
          <w:szCs w:val="24"/>
        </w:rPr>
        <w:t xml:space="preserve">reasonably necessary to prevent deception. </w:t>
      </w:r>
      <w:r w:rsidR="00940C3B" w:rsidRPr="009A69C4">
        <w:rPr>
          <w:rFonts w:ascii="Times New Roman" w:eastAsia="Times New Roman" w:hAnsi="Times New Roman" w:cs="Times New Roman"/>
          <w:i/>
          <w:iCs/>
          <w:color w:val="000000"/>
          <w:sz w:val="24"/>
          <w:szCs w:val="24"/>
        </w:rPr>
        <w:t>See, e.g.</w:t>
      </w:r>
      <w:r w:rsidR="00940C3B" w:rsidRPr="00940C3B">
        <w:rPr>
          <w:rFonts w:ascii="Times New Roman" w:eastAsia="Times New Roman" w:hAnsi="Times New Roman" w:cs="Times New Roman"/>
          <w:color w:val="000000"/>
          <w:sz w:val="24"/>
          <w:szCs w:val="24"/>
        </w:rPr>
        <w:t xml:space="preserve">, </w:t>
      </w:r>
      <w:r w:rsidR="00940C3B" w:rsidRPr="009A69C4">
        <w:rPr>
          <w:rFonts w:ascii="Times New Roman" w:eastAsia="Times New Roman" w:hAnsi="Times New Roman" w:cs="Times New Roman"/>
          <w:i/>
          <w:iCs/>
          <w:color w:val="000000"/>
          <w:sz w:val="24"/>
          <w:szCs w:val="24"/>
        </w:rPr>
        <w:t>FTC v. Brown &amp; Williamson</w:t>
      </w:r>
      <w:r w:rsidR="009A69C4" w:rsidRPr="009A69C4">
        <w:rPr>
          <w:rFonts w:ascii="Times New Roman" w:eastAsia="Times New Roman" w:hAnsi="Times New Roman" w:cs="Times New Roman"/>
          <w:i/>
          <w:iCs/>
          <w:color w:val="000000"/>
          <w:sz w:val="24"/>
          <w:szCs w:val="24"/>
        </w:rPr>
        <w:t xml:space="preserve"> </w:t>
      </w:r>
      <w:r w:rsidR="00940C3B" w:rsidRPr="009A69C4">
        <w:rPr>
          <w:rFonts w:ascii="Times New Roman" w:eastAsia="Times New Roman" w:hAnsi="Times New Roman" w:cs="Times New Roman"/>
          <w:i/>
          <w:iCs/>
          <w:color w:val="000000"/>
          <w:sz w:val="24"/>
          <w:szCs w:val="24"/>
        </w:rPr>
        <w:t>Tobacco Corp</w:t>
      </w:r>
      <w:r w:rsidR="00940C3B" w:rsidRPr="00940C3B">
        <w:rPr>
          <w:rFonts w:ascii="Times New Roman" w:eastAsia="Times New Roman" w:hAnsi="Times New Roman" w:cs="Times New Roman"/>
          <w:color w:val="000000"/>
          <w:sz w:val="24"/>
          <w:szCs w:val="24"/>
        </w:rPr>
        <w:t xml:space="preserve">., 778 F.2d 35, 43 (D.C. Cir. 1985). The </w:t>
      </w:r>
      <w:r w:rsidR="009A69C4" w:rsidRPr="00940C3B">
        <w:rPr>
          <w:rFonts w:ascii="Times New Roman" w:eastAsia="Times New Roman" w:hAnsi="Times New Roman" w:cs="Times New Roman"/>
          <w:color w:val="000000"/>
          <w:sz w:val="24"/>
          <w:szCs w:val="24"/>
        </w:rPr>
        <w:t>lack of "significant scientific agreement" about health claims</w:t>
      </w:r>
      <w:r w:rsidR="009A69C4">
        <w:rPr>
          <w:rFonts w:ascii="Times New Roman" w:eastAsia="Times New Roman" w:hAnsi="Times New Roman" w:cs="Times New Roman"/>
          <w:color w:val="000000"/>
          <w:sz w:val="24"/>
          <w:szCs w:val="24"/>
        </w:rPr>
        <w:t xml:space="preserve"> </w:t>
      </w:r>
      <w:r w:rsidR="009A69C4" w:rsidRPr="00940C3B">
        <w:rPr>
          <w:rFonts w:ascii="Times New Roman" w:eastAsia="Times New Roman" w:hAnsi="Times New Roman" w:cs="Times New Roman"/>
          <w:color w:val="000000"/>
          <w:sz w:val="24"/>
          <w:szCs w:val="24"/>
        </w:rPr>
        <w:t>made by dietary supplement manufacturers does not allow the government to ban</w:t>
      </w:r>
      <w:r w:rsidR="009A69C4">
        <w:rPr>
          <w:rFonts w:ascii="Times New Roman" w:eastAsia="Times New Roman" w:hAnsi="Times New Roman" w:cs="Times New Roman"/>
          <w:color w:val="000000"/>
          <w:sz w:val="24"/>
          <w:szCs w:val="24"/>
        </w:rPr>
        <w:t xml:space="preserve"> </w:t>
      </w:r>
      <w:r w:rsidR="009A69C4" w:rsidRPr="00940C3B">
        <w:rPr>
          <w:rFonts w:ascii="Times New Roman" w:eastAsia="Times New Roman" w:hAnsi="Times New Roman" w:cs="Times New Roman"/>
          <w:color w:val="000000"/>
          <w:sz w:val="24"/>
          <w:szCs w:val="24"/>
        </w:rPr>
        <w:t>that speech as false or misleading</w:t>
      </w:r>
      <w:r w:rsidR="009A69C4">
        <w:rPr>
          <w:rFonts w:ascii="Times New Roman" w:eastAsia="Times New Roman" w:hAnsi="Times New Roman" w:cs="Times New Roman"/>
          <w:color w:val="000000"/>
          <w:sz w:val="24"/>
          <w:szCs w:val="24"/>
        </w:rPr>
        <w:t xml:space="preserve">. </w:t>
      </w:r>
    </w:p>
    <w:p w14:paraId="5B90C0E9" w14:textId="215D52EC" w:rsidR="00940C3B" w:rsidRPr="00940C3B" w:rsidRDefault="00940C3B" w:rsidP="009A69C4">
      <w:pPr>
        <w:spacing w:after="0" w:line="240" w:lineRule="auto"/>
        <w:jc w:val="both"/>
        <w:textAlignment w:val="baseline"/>
        <w:rPr>
          <w:rFonts w:ascii="Times New Roman" w:eastAsia="Times New Roman" w:hAnsi="Times New Roman" w:cs="Times New Roman"/>
          <w:color w:val="000000"/>
          <w:sz w:val="24"/>
          <w:szCs w:val="24"/>
        </w:rPr>
      </w:pPr>
      <w:r w:rsidRPr="00940C3B">
        <w:rPr>
          <w:rFonts w:ascii="Times New Roman" w:eastAsia="Times New Roman" w:hAnsi="Times New Roman" w:cs="Times New Roman"/>
          <w:color w:val="000000"/>
          <w:sz w:val="24"/>
          <w:szCs w:val="24"/>
        </w:rPr>
        <w:t>FTC cannot ban speech</w:t>
      </w:r>
      <w:r w:rsidR="009A69C4">
        <w:rPr>
          <w:rFonts w:ascii="Times New Roman" w:eastAsia="Times New Roman" w:hAnsi="Times New Roman" w:cs="Times New Roman"/>
          <w:color w:val="000000"/>
          <w:sz w:val="24"/>
          <w:szCs w:val="24"/>
        </w:rPr>
        <w:t xml:space="preserve"> </w:t>
      </w:r>
      <w:r w:rsidRPr="00940C3B">
        <w:rPr>
          <w:rFonts w:ascii="Times New Roman" w:eastAsia="Times New Roman" w:hAnsi="Times New Roman" w:cs="Times New Roman"/>
          <w:color w:val="000000"/>
          <w:sz w:val="24"/>
          <w:szCs w:val="24"/>
        </w:rPr>
        <w:t xml:space="preserve">unless that speech lacks credible evidence. </w:t>
      </w:r>
      <w:r w:rsidRPr="009A69C4">
        <w:rPr>
          <w:rFonts w:ascii="Times New Roman" w:eastAsia="Times New Roman" w:hAnsi="Times New Roman" w:cs="Times New Roman"/>
          <w:i/>
          <w:iCs/>
          <w:color w:val="000000"/>
          <w:sz w:val="24"/>
          <w:szCs w:val="24"/>
        </w:rPr>
        <w:t>Pearson v. Shalala</w:t>
      </w:r>
      <w:r w:rsidRPr="00940C3B">
        <w:rPr>
          <w:rFonts w:ascii="Times New Roman" w:eastAsia="Times New Roman" w:hAnsi="Times New Roman" w:cs="Times New Roman"/>
          <w:color w:val="000000"/>
          <w:sz w:val="24"/>
          <w:szCs w:val="24"/>
        </w:rPr>
        <w:t>, 164 F.3d 650,</w:t>
      </w:r>
      <w:r w:rsidR="009A69C4">
        <w:rPr>
          <w:rFonts w:ascii="Times New Roman" w:eastAsia="Times New Roman" w:hAnsi="Times New Roman" w:cs="Times New Roman"/>
          <w:color w:val="000000"/>
          <w:sz w:val="24"/>
          <w:szCs w:val="24"/>
        </w:rPr>
        <w:t xml:space="preserve"> </w:t>
      </w:r>
      <w:r w:rsidRPr="00940C3B">
        <w:rPr>
          <w:rFonts w:ascii="Times New Roman" w:eastAsia="Times New Roman" w:hAnsi="Times New Roman" w:cs="Times New Roman"/>
          <w:color w:val="000000"/>
          <w:sz w:val="24"/>
          <w:szCs w:val="24"/>
        </w:rPr>
        <w:t>655 (D.C. Cir. 1999)</w:t>
      </w:r>
      <w:r w:rsidR="009A69C4">
        <w:rPr>
          <w:rFonts w:ascii="Times New Roman" w:eastAsia="Times New Roman" w:hAnsi="Times New Roman" w:cs="Times New Roman"/>
          <w:color w:val="000000"/>
          <w:sz w:val="24"/>
          <w:szCs w:val="24"/>
        </w:rPr>
        <w:t xml:space="preserve">. </w:t>
      </w:r>
      <w:r w:rsidR="005A17BE">
        <w:rPr>
          <w:rFonts w:ascii="Times New Roman" w:eastAsia="Times New Roman" w:hAnsi="Times New Roman" w:cs="Times New Roman"/>
          <w:color w:val="000000"/>
          <w:sz w:val="24"/>
          <w:szCs w:val="24"/>
        </w:rPr>
        <w:t>The speech compelled by AB 1341 violates the First Amendment.</w:t>
      </w:r>
    </w:p>
    <w:p w14:paraId="0534AF72" w14:textId="77777777" w:rsidR="003C63B0" w:rsidRDefault="003C63B0" w:rsidP="00AC309A">
      <w:pPr>
        <w:spacing w:after="0" w:line="240" w:lineRule="auto"/>
        <w:jc w:val="both"/>
        <w:textAlignment w:val="baseline"/>
        <w:rPr>
          <w:rFonts w:ascii="Times New Roman" w:eastAsia="Times New Roman" w:hAnsi="Times New Roman" w:cs="Times New Roman"/>
          <w:color w:val="000000"/>
          <w:sz w:val="24"/>
          <w:szCs w:val="24"/>
        </w:rPr>
      </w:pPr>
    </w:p>
    <w:p w14:paraId="18BE3078" w14:textId="66277EEE" w:rsidR="00C654DE" w:rsidRDefault="003C63B0" w:rsidP="00AC309A">
      <w:pPr>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Given these other issues, AB 1341 should be vetoed. NPA would be happy to discuss this matter with you </w:t>
      </w:r>
      <w:r w:rsidR="00F41D3F">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z w:val="24"/>
          <w:szCs w:val="24"/>
        </w:rPr>
        <w:t xml:space="preserve"> respond to any questions. </w:t>
      </w:r>
      <w:r w:rsidR="00C654DE">
        <w:rPr>
          <w:rFonts w:ascii="Times New Roman" w:eastAsia="Times New Roman" w:hAnsi="Times New Roman" w:cs="Times New Roman"/>
          <w:color w:val="000000"/>
          <w:sz w:val="24"/>
          <w:szCs w:val="24"/>
        </w:rPr>
        <w:t xml:space="preserve"> </w:t>
      </w:r>
    </w:p>
    <w:p w14:paraId="5181E8C4" w14:textId="48DFEEB6" w:rsidR="0086636D" w:rsidRDefault="0086636D" w:rsidP="00AC309A">
      <w:pPr>
        <w:spacing w:after="0" w:line="240" w:lineRule="auto"/>
        <w:jc w:val="both"/>
        <w:textAlignment w:val="baseline"/>
        <w:rPr>
          <w:rFonts w:ascii="Times New Roman" w:eastAsia="Times New Roman" w:hAnsi="Times New Roman" w:cs="Times New Roman"/>
          <w:color w:val="000000"/>
          <w:sz w:val="24"/>
          <w:szCs w:val="24"/>
        </w:rPr>
      </w:pPr>
    </w:p>
    <w:p w14:paraId="54957A8C" w14:textId="1E108698"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Thank you,</w:t>
      </w:r>
    </w:p>
    <w:p w14:paraId="7B083607" w14:textId="050DAF52" w:rsidR="00D505C0" w:rsidRPr="00F92156" w:rsidRDefault="00D505C0" w:rsidP="00F92156">
      <w:pPr>
        <w:pStyle w:val="NoSpacing"/>
        <w:jc w:val="both"/>
        <w:rPr>
          <w:rFonts w:ascii="Times New Roman" w:hAnsi="Times New Roman" w:cs="Times New Roman"/>
          <w:sz w:val="24"/>
          <w:szCs w:val="24"/>
        </w:rPr>
      </w:pPr>
    </w:p>
    <w:p w14:paraId="790B8B2B" w14:textId="3008CB29"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Daniel Fabricant, Ph.D.</w:t>
      </w:r>
    </w:p>
    <w:p w14:paraId="5C66AC59" w14:textId="3E6944BF"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President and CEO</w:t>
      </w:r>
    </w:p>
    <w:p w14:paraId="677F2FD9" w14:textId="2660DC8D" w:rsidR="00D505C0" w:rsidRPr="00F92156" w:rsidRDefault="00D505C0" w:rsidP="00F92156">
      <w:pPr>
        <w:pStyle w:val="NoSpacing"/>
        <w:jc w:val="both"/>
        <w:rPr>
          <w:rFonts w:ascii="Times New Roman" w:hAnsi="Times New Roman" w:cs="Times New Roman"/>
          <w:sz w:val="24"/>
          <w:szCs w:val="24"/>
        </w:rPr>
      </w:pPr>
      <w:r w:rsidRPr="00F92156">
        <w:rPr>
          <w:rFonts w:ascii="Times New Roman" w:hAnsi="Times New Roman" w:cs="Times New Roman"/>
          <w:sz w:val="24"/>
          <w:szCs w:val="24"/>
        </w:rPr>
        <w:t>Natural Products Association</w:t>
      </w:r>
    </w:p>
    <w:p w14:paraId="7DA31065" w14:textId="77777777" w:rsidR="00D505C0" w:rsidRPr="00F92156" w:rsidRDefault="00D505C0" w:rsidP="00F92156">
      <w:pPr>
        <w:pStyle w:val="NoSpacing"/>
        <w:jc w:val="both"/>
        <w:rPr>
          <w:rFonts w:ascii="Times New Roman" w:hAnsi="Times New Roman" w:cs="Times New Roman"/>
          <w:sz w:val="24"/>
          <w:szCs w:val="24"/>
        </w:rPr>
      </w:pPr>
    </w:p>
    <w:p w14:paraId="00363251" w14:textId="5291DD4D" w:rsidR="00FD17F7" w:rsidRDefault="007E0C8D" w:rsidP="00F92156">
      <w:pPr>
        <w:pStyle w:val="NoSpacing"/>
        <w:jc w:val="both"/>
        <w:rPr>
          <w:rFonts w:ascii="Times New Roman" w:hAnsi="Times New Roman" w:cs="Times New Roman"/>
          <w:sz w:val="24"/>
          <w:szCs w:val="24"/>
        </w:rPr>
      </w:pPr>
      <w:r w:rsidRPr="00FD17F7">
        <w:rPr>
          <w:rFonts w:ascii="Times New Roman" w:hAnsi="Times New Roman" w:cs="Times New Roman"/>
          <w:sz w:val="24"/>
          <w:szCs w:val="24"/>
        </w:rPr>
        <w:t>cc:</w:t>
      </w:r>
      <w:r w:rsidRPr="00FD17F7">
        <w:rPr>
          <w:rFonts w:ascii="Times New Roman" w:hAnsi="Times New Roman" w:cs="Times New Roman"/>
          <w:sz w:val="24"/>
          <w:szCs w:val="24"/>
        </w:rPr>
        <w:tab/>
      </w:r>
      <w:r w:rsidR="00FD17F7">
        <w:rPr>
          <w:rFonts w:ascii="Times New Roman" w:hAnsi="Times New Roman" w:cs="Times New Roman"/>
          <w:sz w:val="24"/>
          <w:szCs w:val="24"/>
        </w:rPr>
        <w:t xml:space="preserve">Christy </w:t>
      </w:r>
      <w:proofErr w:type="spellStart"/>
      <w:r w:rsidR="00FD17F7">
        <w:rPr>
          <w:rFonts w:ascii="Times New Roman" w:hAnsi="Times New Roman" w:cs="Times New Roman"/>
          <w:sz w:val="24"/>
          <w:szCs w:val="24"/>
        </w:rPr>
        <w:t>Bauma</w:t>
      </w:r>
      <w:proofErr w:type="spellEnd"/>
      <w:r w:rsidR="00FD17F7">
        <w:rPr>
          <w:rFonts w:ascii="Times New Roman" w:hAnsi="Times New Roman" w:cs="Times New Roman"/>
          <w:sz w:val="24"/>
          <w:szCs w:val="24"/>
        </w:rPr>
        <w:t>, Legislative Affairs Secretary</w:t>
      </w:r>
    </w:p>
    <w:p w14:paraId="645652FC" w14:textId="77777777" w:rsidR="005A17BE" w:rsidRDefault="005A17BE" w:rsidP="00FD17F7">
      <w:pPr>
        <w:pStyle w:val="NoSpacing"/>
        <w:ind w:firstLine="720"/>
        <w:jc w:val="both"/>
        <w:rPr>
          <w:rFonts w:ascii="Times New Roman" w:hAnsi="Times New Roman" w:cs="Times New Roman"/>
          <w:sz w:val="24"/>
          <w:szCs w:val="24"/>
        </w:rPr>
      </w:pPr>
    </w:p>
    <w:p w14:paraId="0041EF7F" w14:textId="1442DE49" w:rsidR="00D505C0" w:rsidRDefault="00FD17F7" w:rsidP="00FD17F7">
      <w:pPr>
        <w:pStyle w:val="NoSpacing"/>
        <w:ind w:firstLine="720"/>
        <w:jc w:val="both"/>
        <w:rPr>
          <w:rFonts w:ascii="Times New Roman" w:hAnsi="Times New Roman" w:cs="Times New Roman"/>
          <w:sz w:val="24"/>
          <w:szCs w:val="24"/>
        </w:rPr>
      </w:pPr>
      <w:r w:rsidRPr="00FD17F7">
        <w:rPr>
          <w:rFonts w:ascii="Times New Roman" w:hAnsi="Times New Roman" w:cs="Times New Roman"/>
          <w:sz w:val="24"/>
          <w:szCs w:val="24"/>
        </w:rPr>
        <w:t>Tam Ma, Deputy L</w:t>
      </w:r>
      <w:r w:rsidRPr="00592D19">
        <w:rPr>
          <w:rFonts w:ascii="Times New Roman" w:hAnsi="Times New Roman" w:cs="Times New Roman"/>
          <w:sz w:val="24"/>
          <w:szCs w:val="24"/>
        </w:rPr>
        <w:t>egislat</w:t>
      </w:r>
      <w:r>
        <w:rPr>
          <w:rFonts w:ascii="Times New Roman" w:hAnsi="Times New Roman" w:cs="Times New Roman"/>
          <w:sz w:val="24"/>
          <w:szCs w:val="24"/>
        </w:rPr>
        <w:t>ive Secretary</w:t>
      </w:r>
    </w:p>
    <w:p w14:paraId="231AFF5D" w14:textId="51D7D5F2" w:rsidR="00FD17F7" w:rsidRPr="00FD17F7" w:rsidRDefault="00FD17F7" w:rsidP="00592D1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Ann Patterson, Legal Affairs Secretary</w:t>
      </w:r>
    </w:p>
    <w:p w14:paraId="07E46A30" w14:textId="77777777" w:rsidR="00A53FB7" w:rsidRPr="00FD17F7" w:rsidRDefault="00A53FB7" w:rsidP="00F92156">
      <w:pPr>
        <w:pStyle w:val="NoSpacing"/>
        <w:jc w:val="both"/>
        <w:rPr>
          <w:rFonts w:ascii="Times New Roman" w:hAnsi="Times New Roman" w:cs="Times New Roman"/>
          <w:sz w:val="24"/>
          <w:szCs w:val="24"/>
        </w:rPr>
      </w:pPr>
    </w:p>
    <w:p w14:paraId="60CA6377" w14:textId="77777777" w:rsidR="00A53FB7" w:rsidRPr="00FD17F7" w:rsidRDefault="00A53FB7" w:rsidP="00F92156">
      <w:pPr>
        <w:pStyle w:val="NoSpacing"/>
        <w:jc w:val="both"/>
        <w:rPr>
          <w:rFonts w:ascii="Times New Roman" w:hAnsi="Times New Roman" w:cs="Times New Roman"/>
          <w:sz w:val="24"/>
          <w:szCs w:val="24"/>
        </w:rPr>
      </w:pPr>
    </w:p>
    <w:p w14:paraId="4F56B6A1" w14:textId="77777777" w:rsidR="00A53FB7" w:rsidRPr="00FD17F7" w:rsidRDefault="00A53FB7" w:rsidP="00F92156">
      <w:pPr>
        <w:pStyle w:val="NoSpacing"/>
        <w:jc w:val="both"/>
        <w:rPr>
          <w:rFonts w:ascii="Times New Roman" w:hAnsi="Times New Roman" w:cs="Times New Roman"/>
          <w:sz w:val="24"/>
          <w:szCs w:val="24"/>
        </w:rPr>
      </w:pPr>
    </w:p>
    <w:sectPr w:rsidR="00A53FB7" w:rsidRPr="00FD17F7" w:rsidSect="005A17BE">
      <w:headerReference w:type="default" r:id="rId6"/>
      <w:footerReference w:type="even" r:id="rId7"/>
      <w:footerReference w:type="default" r:id="rId8"/>
      <w:footerReference w:type="first" r:id="rId9"/>
      <w:pgSz w:w="12240" w:h="15840"/>
      <w:pgMar w:top="1440" w:right="144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D2FD" w14:textId="77777777" w:rsidR="00D42053" w:rsidRDefault="00D42053" w:rsidP="00D505C0">
      <w:pPr>
        <w:spacing w:after="0" w:line="240" w:lineRule="auto"/>
      </w:pPr>
      <w:r>
        <w:separator/>
      </w:r>
    </w:p>
  </w:endnote>
  <w:endnote w:type="continuationSeparator" w:id="0">
    <w:p w14:paraId="79EC348A" w14:textId="77777777" w:rsidR="00D42053" w:rsidRDefault="00D42053" w:rsidP="00D50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B6CA5" w14:textId="6A77BCCD" w:rsidR="00A53FB7" w:rsidRDefault="00000000">
    <w:pPr>
      <w:pStyle w:val="DocID"/>
    </w:pPr>
    <w:r>
      <w:fldChar w:fldCharType="begin"/>
    </w:r>
    <w:r>
      <w:instrText xml:space="preserve">  DOCPROPERTY "CUS_DocIDChunk0" </w:instrText>
    </w:r>
    <w:r>
      <w:fldChar w:fldCharType="separate"/>
    </w:r>
    <w:r w:rsidR="00F41D3F">
      <w:rPr>
        <w:b/>
        <w:bCs/>
      </w:rPr>
      <w:t>Error! Unknown document property name.</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854170"/>
      <w:docPartObj>
        <w:docPartGallery w:val="Page Numbers (Bottom of Page)"/>
        <w:docPartUnique/>
      </w:docPartObj>
    </w:sdtPr>
    <w:sdtEndPr>
      <w:rPr>
        <w:noProof/>
      </w:rPr>
    </w:sdtEndPr>
    <w:sdtContent>
      <w:p w14:paraId="6253F1FD" w14:textId="04138863" w:rsidR="005A17BE" w:rsidRDefault="005A17BE">
        <w:pPr>
          <w:pStyle w:val="Footer"/>
          <w:jc w:val="center"/>
        </w:pPr>
        <w:r w:rsidRPr="005A17BE">
          <w:rPr>
            <w:rFonts w:ascii="Times New Roman" w:hAnsi="Times New Roman" w:cs="Times New Roman"/>
            <w:sz w:val="24"/>
            <w:szCs w:val="24"/>
          </w:rPr>
          <w:fldChar w:fldCharType="begin"/>
        </w:r>
        <w:r w:rsidRPr="005A17BE">
          <w:rPr>
            <w:rFonts w:ascii="Times New Roman" w:hAnsi="Times New Roman" w:cs="Times New Roman"/>
            <w:sz w:val="24"/>
            <w:szCs w:val="24"/>
          </w:rPr>
          <w:instrText xml:space="preserve"> PAGE   \* MERGEFORMAT </w:instrText>
        </w:r>
        <w:r w:rsidRPr="005A17BE">
          <w:rPr>
            <w:rFonts w:ascii="Times New Roman" w:hAnsi="Times New Roman" w:cs="Times New Roman"/>
            <w:sz w:val="24"/>
            <w:szCs w:val="24"/>
          </w:rPr>
          <w:fldChar w:fldCharType="separate"/>
        </w:r>
        <w:r w:rsidRPr="005A17BE">
          <w:rPr>
            <w:rFonts w:ascii="Times New Roman" w:hAnsi="Times New Roman" w:cs="Times New Roman"/>
            <w:noProof/>
            <w:sz w:val="24"/>
            <w:szCs w:val="24"/>
          </w:rPr>
          <w:t>2</w:t>
        </w:r>
        <w:r w:rsidRPr="005A17BE">
          <w:rPr>
            <w:rFonts w:ascii="Times New Roman" w:hAnsi="Times New Roman" w:cs="Times New Roman"/>
            <w:noProof/>
            <w:sz w:val="24"/>
            <w:szCs w:val="24"/>
          </w:rPr>
          <w:fldChar w:fldCharType="end"/>
        </w:r>
      </w:p>
    </w:sdtContent>
  </w:sdt>
  <w:p w14:paraId="463BE5BC" w14:textId="1276602A" w:rsidR="00A53FB7" w:rsidRDefault="00A53FB7">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46E7" w14:textId="7F25A625" w:rsidR="00A53FB7" w:rsidRDefault="00000000">
    <w:pPr>
      <w:pStyle w:val="DocID"/>
    </w:pPr>
    <w:r>
      <w:fldChar w:fldCharType="begin"/>
    </w:r>
    <w:r>
      <w:instrText xml:space="preserve">  DOCPROPERTY "CUS_DocIDChunk0" </w:instrText>
    </w:r>
    <w:r>
      <w:fldChar w:fldCharType="separate"/>
    </w:r>
    <w:r w:rsidR="00F41D3F">
      <w:rPr>
        <w:b/>
        <w:bCs/>
      </w:rPr>
      <w:t>Error! Unknown document property name.</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EEEC" w14:textId="77777777" w:rsidR="00D42053" w:rsidRDefault="00D42053" w:rsidP="00D505C0">
      <w:pPr>
        <w:spacing w:after="0" w:line="240" w:lineRule="auto"/>
      </w:pPr>
      <w:r>
        <w:separator/>
      </w:r>
    </w:p>
  </w:footnote>
  <w:footnote w:type="continuationSeparator" w:id="0">
    <w:p w14:paraId="54F35F23" w14:textId="77777777" w:rsidR="00D42053" w:rsidRDefault="00D42053" w:rsidP="00D505C0">
      <w:pPr>
        <w:spacing w:after="0" w:line="240" w:lineRule="auto"/>
      </w:pPr>
      <w:r>
        <w:continuationSeparator/>
      </w:r>
    </w:p>
  </w:footnote>
  <w:footnote w:id="1">
    <w:p w14:paraId="7C5ADEF4" w14:textId="1CE72F8D" w:rsidR="00F861C2" w:rsidRPr="00592D19" w:rsidRDefault="00F861C2">
      <w:pPr>
        <w:pStyle w:val="FootnoteText"/>
        <w:rPr>
          <w:rFonts w:ascii="Times New Roman" w:hAnsi="Times New Roman" w:cs="Times New Roman"/>
        </w:rPr>
      </w:pPr>
      <w:r w:rsidRPr="00592D19">
        <w:rPr>
          <w:rStyle w:val="FootnoteReference"/>
          <w:rFonts w:ascii="Times New Roman" w:hAnsi="Times New Roman" w:cs="Times New Roman"/>
        </w:rPr>
        <w:footnoteRef/>
      </w:r>
      <w:r w:rsidRPr="00592D19">
        <w:rPr>
          <w:rFonts w:ascii="Times New Roman" w:hAnsi="Times New Roman" w:cs="Times New Roman"/>
        </w:rPr>
        <w:t xml:space="preserve"> </w:t>
      </w:r>
      <w:hyperlink r:id="rId1" w:history="1">
        <w:r w:rsidRPr="00592D19">
          <w:rPr>
            <w:rStyle w:val="Hyperlink"/>
            <w:rFonts w:ascii="Times New Roman" w:hAnsi="Times New Roman" w:cs="Times New Roman"/>
          </w:rPr>
          <w:t>https://eatingdisordersreview.com/topiramate-may-trigger-eating-disorder-symptoms/</w:t>
        </w:r>
      </w:hyperlink>
      <w:r w:rsidR="00631538">
        <w:rPr>
          <w:rFonts w:ascii="Times New Roman" w:hAnsi="Times New Roman" w:cs="Times New Roman"/>
        </w:rPr>
        <w:t>.</w:t>
      </w:r>
      <w:r w:rsidRPr="00592D19">
        <w:rPr>
          <w:rFonts w:ascii="Times New Roman" w:hAnsi="Times New Roman" w:cs="Times New Roman"/>
        </w:rPr>
        <w:t xml:space="preserve"> </w:t>
      </w:r>
    </w:p>
  </w:footnote>
  <w:footnote w:id="2">
    <w:p w14:paraId="4E23263F" w14:textId="77777777" w:rsidR="00AC309A" w:rsidRPr="00C96913" w:rsidRDefault="00AC309A" w:rsidP="00AC309A">
      <w:pPr>
        <w:pStyle w:val="FootnoteText"/>
        <w:rPr>
          <w:rFonts w:ascii="Times New Roman" w:hAnsi="Times New Roman" w:cs="Times New Roman"/>
          <w:sz w:val="24"/>
          <w:szCs w:val="24"/>
        </w:rPr>
      </w:pPr>
      <w:r w:rsidRPr="00C96913">
        <w:rPr>
          <w:rStyle w:val="FootnoteReference"/>
          <w:rFonts w:ascii="Times New Roman" w:hAnsi="Times New Roman" w:cs="Times New Roman"/>
          <w:sz w:val="24"/>
          <w:szCs w:val="24"/>
        </w:rPr>
        <w:footnoteRef/>
      </w:r>
      <w:r w:rsidRPr="00C96913">
        <w:rPr>
          <w:rFonts w:ascii="Times New Roman" w:hAnsi="Times New Roman" w:cs="Times New Roman"/>
          <w:sz w:val="24"/>
          <w:szCs w:val="24"/>
        </w:rPr>
        <w:t xml:space="preserve"> Pub. L. No. 75-717, 52 Stat. 1040 (1938), as amended 21 U.S.C. §§ 301 </w:t>
      </w:r>
      <w:r w:rsidRPr="00C96913">
        <w:rPr>
          <w:rFonts w:ascii="Times New Roman" w:hAnsi="Times New Roman" w:cs="Times New Roman"/>
          <w:i/>
          <w:sz w:val="24"/>
          <w:szCs w:val="24"/>
        </w:rPr>
        <w:t>et seq.</w:t>
      </w:r>
      <w:r w:rsidRPr="00C96913">
        <w:rPr>
          <w:rFonts w:ascii="Times New Roman" w:hAnsi="Times New Roman" w:cs="Times New Roman"/>
          <w:sz w:val="24"/>
          <w:szCs w:val="24"/>
        </w:rPr>
        <w:t xml:space="preserve"> (1998).</w:t>
      </w:r>
    </w:p>
  </w:footnote>
  <w:footnote w:id="3">
    <w:p w14:paraId="357F1428" w14:textId="77777777" w:rsidR="00AC309A" w:rsidRPr="00C96913" w:rsidRDefault="00AC309A" w:rsidP="00AC309A">
      <w:pPr>
        <w:pStyle w:val="FootnoteText"/>
        <w:rPr>
          <w:rFonts w:ascii="Times New Roman" w:hAnsi="Times New Roman" w:cs="Times New Roman"/>
          <w:sz w:val="24"/>
          <w:szCs w:val="24"/>
        </w:rPr>
      </w:pPr>
      <w:r w:rsidRPr="00C96913">
        <w:rPr>
          <w:rStyle w:val="FootnoteReference"/>
          <w:rFonts w:ascii="Times New Roman" w:hAnsi="Times New Roman" w:cs="Times New Roman"/>
          <w:sz w:val="24"/>
          <w:szCs w:val="24"/>
        </w:rPr>
        <w:footnoteRef/>
      </w:r>
      <w:r w:rsidRPr="00C96913">
        <w:rPr>
          <w:rFonts w:ascii="Times New Roman" w:hAnsi="Times New Roman" w:cs="Times New Roman"/>
          <w:sz w:val="24"/>
          <w:szCs w:val="24"/>
        </w:rPr>
        <w:t xml:space="preserve"> Pub. L. No. 103-417, § 4, 108 Stat. 4325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D655" w14:textId="77777777" w:rsidR="00D505C0" w:rsidRDefault="00D505C0" w:rsidP="00D505C0">
    <w:pPr>
      <w:pStyle w:val="Header"/>
      <w:tabs>
        <w:tab w:val="clear" w:pos="4680"/>
      </w:tabs>
    </w:pPr>
    <w:r w:rsidRPr="000E410C">
      <w:rPr>
        <w:noProof/>
      </w:rPr>
      <mc:AlternateContent>
        <mc:Choice Requires="wps">
          <w:drawing>
            <wp:anchor distT="45720" distB="45720" distL="114300" distR="114300" simplePos="0" relativeHeight="251659264" behindDoc="0" locked="0" layoutInCell="1" allowOverlap="1" wp14:anchorId="27115F82" wp14:editId="6089D5E4">
              <wp:simplePos x="0" y="0"/>
              <wp:positionH relativeFrom="column">
                <wp:posOffset>3399790</wp:posOffset>
              </wp:positionH>
              <wp:positionV relativeFrom="paragraph">
                <wp:posOffset>-333375</wp:posOffset>
              </wp:positionV>
              <wp:extent cx="3362325" cy="781050"/>
              <wp:effectExtent l="0" t="0" r="952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1050"/>
                      </a:xfrm>
                      <a:prstGeom prst="rect">
                        <a:avLst/>
                      </a:prstGeom>
                      <a:solidFill>
                        <a:srgbClr val="FFFFFF"/>
                      </a:solidFill>
                      <a:ln w="9525">
                        <a:noFill/>
                        <a:miter lim="800000"/>
                        <a:headEnd/>
                        <a:tailEnd/>
                      </a:ln>
                    </wps:spPr>
                    <wps:txbx>
                      <w:txbxContent>
                        <w:p w14:paraId="15BAD9AF" w14:textId="77777777" w:rsidR="00D505C0" w:rsidRPr="009C3511" w:rsidRDefault="00D505C0" w:rsidP="00D505C0">
                          <w:pPr>
                            <w:spacing w:line="312" w:lineRule="auto"/>
                            <w:jc w:val="right"/>
                          </w:pPr>
                          <w:r w:rsidRPr="009C3511">
                            <w:t>440 1</w:t>
                          </w:r>
                          <w:r w:rsidRPr="009C3511">
                            <w:rPr>
                              <w:vertAlign w:val="superscript"/>
                            </w:rPr>
                            <w:t>st</w:t>
                          </w:r>
                          <w:r w:rsidRPr="009C3511">
                            <w:t xml:space="preserve"> St. NW, Ste. 520, Washington, D.C. 20001</w:t>
                          </w:r>
                        </w:p>
                        <w:p w14:paraId="3C3DB95C" w14:textId="77777777" w:rsidR="00D505C0" w:rsidRPr="009C3511" w:rsidRDefault="00D505C0" w:rsidP="00D505C0">
                          <w:pPr>
                            <w:spacing w:line="312" w:lineRule="auto"/>
                            <w:jc w:val="right"/>
                          </w:pPr>
                          <w:r w:rsidRPr="009C3511">
                            <w:t>(202) 223-0101, Fax (202) 223-0250</w:t>
                          </w:r>
                        </w:p>
                        <w:p w14:paraId="26FCCD66" w14:textId="77777777" w:rsidR="00D505C0" w:rsidRPr="009C3511" w:rsidRDefault="00D505C0" w:rsidP="00D505C0">
                          <w:pPr>
                            <w:spacing w:line="312" w:lineRule="auto"/>
                            <w:jc w:val="right"/>
                          </w:pPr>
                          <w:r>
                            <w:t>www.npanational.org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7115F82">
              <v:stroke joinstyle="miter"/>
              <v:path gradientshapeok="t" o:connecttype="rect"/>
            </v:shapetype>
            <v:shape id="Text Box 2" style="position:absolute;margin-left:267.7pt;margin-top:-26.25pt;width:264.7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">
              <v:textbox>
                <w:txbxContent>
                  <w:p w:rsidRPr="009C3511" w:rsidR="00D505C0" w:rsidP="00D505C0" w:rsidRDefault="00D505C0" w14:paraId="15BAD9AF" w14:textId="77777777">
                    <w:pPr>
                      <w:spacing w:line="312" w:lineRule="auto"/>
                      <w:jc w:val="right"/>
                    </w:pPr>
                    <w:r w:rsidRPr="009C3511">
                      <w:t>440 1</w:t>
                    </w:r>
                    <w:r w:rsidRPr="009C3511">
                      <w:rPr>
                        <w:vertAlign w:val="superscript"/>
                      </w:rPr>
                      <w:t>st</w:t>
                    </w:r>
                    <w:r w:rsidRPr="009C3511">
                      <w:t xml:space="preserve"> St. NW, Ste. 520, Washington, D.C. 20001</w:t>
                    </w:r>
                  </w:p>
                  <w:p w:rsidRPr="009C3511" w:rsidR="00D505C0" w:rsidP="00D505C0" w:rsidRDefault="00D505C0" w14:paraId="3C3DB95C" w14:textId="77777777">
                    <w:pPr>
                      <w:spacing w:line="312" w:lineRule="auto"/>
                      <w:jc w:val="right"/>
                    </w:pPr>
                    <w:r w:rsidRPr="009C3511">
                      <w:t>(202) 223-0101, Fax (202) 223-0250</w:t>
                    </w:r>
                  </w:p>
                  <w:p w:rsidRPr="009C3511" w:rsidR="00D505C0" w:rsidP="00D505C0" w:rsidRDefault="00D505C0" w14:paraId="26FCCD66" w14:textId="77777777">
                    <w:pPr>
                      <w:spacing w:line="312" w:lineRule="auto"/>
                      <w:jc w:val="right"/>
                    </w:pPr>
                    <w:r>
                      <w:t>www.npanational.org</w:t>
                    </w:r>
                  </w:p>
                </w:txbxContent>
              </v:textbox>
              <w10:wrap type="square"/>
            </v:shape>
          </w:pict>
        </mc:Fallback>
      </mc:AlternateContent>
    </w:r>
    <w:r>
      <w:rPr>
        <w:noProof/>
      </w:rPr>
      <w:drawing>
        <wp:anchor distT="0" distB="0" distL="114300" distR="114300" simplePos="0" relativeHeight="251660288" behindDoc="0" locked="0" layoutInCell="1" allowOverlap="1" wp14:anchorId="22DF799A" wp14:editId="7248C064">
          <wp:simplePos x="0" y="0"/>
          <wp:positionH relativeFrom="column">
            <wp:posOffset>-701040</wp:posOffset>
          </wp:positionH>
          <wp:positionV relativeFrom="paragraph">
            <wp:posOffset>-352425</wp:posOffset>
          </wp:positionV>
          <wp:extent cx="2095500" cy="75184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1840"/>
                  </a:xfrm>
                  <a:prstGeom prst="rect">
                    <a:avLst/>
                  </a:prstGeom>
                  <a:noFill/>
                </pic:spPr>
              </pic:pic>
            </a:graphicData>
          </a:graphic>
          <wp14:sizeRelV relativeFrom="margin">
            <wp14:pctHeight>0</wp14:pctHeight>
          </wp14:sizeRelV>
        </wp:anchor>
      </w:drawing>
    </w:r>
    <w:r>
      <w:tab/>
    </w:r>
  </w:p>
  <w:p w14:paraId="58202D88" w14:textId="77777777" w:rsidR="00D505C0" w:rsidRDefault="00D505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A2NjE1NrY0MzQ2NzJU0lEKTi0uzszPAykwrAUARBwGdSwAAAA="/>
  </w:docVars>
  <w:rsids>
    <w:rsidRoot w:val="00D505C0"/>
    <w:rsid w:val="000249F1"/>
    <w:rsid w:val="00152DED"/>
    <w:rsid w:val="001D7378"/>
    <w:rsid w:val="002B2C64"/>
    <w:rsid w:val="00333B3E"/>
    <w:rsid w:val="0039410E"/>
    <w:rsid w:val="003C63B0"/>
    <w:rsid w:val="0040655D"/>
    <w:rsid w:val="004558A6"/>
    <w:rsid w:val="005762E7"/>
    <w:rsid w:val="00592D19"/>
    <w:rsid w:val="005A17BE"/>
    <w:rsid w:val="005E73B7"/>
    <w:rsid w:val="00631538"/>
    <w:rsid w:val="006D40BD"/>
    <w:rsid w:val="007B2497"/>
    <w:rsid w:val="007E0C8D"/>
    <w:rsid w:val="00853CAF"/>
    <w:rsid w:val="0086636D"/>
    <w:rsid w:val="00891D45"/>
    <w:rsid w:val="008E2136"/>
    <w:rsid w:val="00940C3B"/>
    <w:rsid w:val="009710CB"/>
    <w:rsid w:val="009A69C4"/>
    <w:rsid w:val="009B6B16"/>
    <w:rsid w:val="00A07AB6"/>
    <w:rsid w:val="00A53FB7"/>
    <w:rsid w:val="00A569A7"/>
    <w:rsid w:val="00AC309A"/>
    <w:rsid w:val="00AD5A7D"/>
    <w:rsid w:val="00B30598"/>
    <w:rsid w:val="00C654DE"/>
    <w:rsid w:val="00C83E73"/>
    <w:rsid w:val="00D42053"/>
    <w:rsid w:val="00D505C0"/>
    <w:rsid w:val="00E07775"/>
    <w:rsid w:val="00E613E4"/>
    <w:rsid w:val="00F41D3F"/>
    <w:rsid w:val="00F63397"/>
    <w:rsid w:val="00F63C40"/>
    <w:rsid w:val="00F861C2"/>
    <w:rsid w:val="00F92156"/>
    <w:rsid w:val="00FA45F4"/>
    <w:rsid w:val="00FD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2456"/>
  <w15:chartTrackingRefBased/>
  <w15:docId w15:val="{000185FC-390D-4288-A2A5-0BEC5D05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C0"/>
  </w:style>
  <w:style w:type="paragraph" w:styleId="Footer">
    <w:name w:val="footer"/>
    <w:basedOn w:val="Normal"/>
    <w:link w:val="FooterChar"/>
    <w:uiPriority w:val="99"/>
    <w:unhideWhenUsed/>
    <w:rsid w:val="00D50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C0"/>
  </w:style>
  <w:style w:type="paragraph" w:styleId="NoSpacing">
    <w:name w:val="No Spacing"/>
    <w:uiPriority w:val="1"/>
    <w:qFormat/>
    <w:rsid w:val="00D505C0"/>
    <w:pPr>
      <w:spacing w:after="0" w:line="240" w:lineRule="auto"/>
    </w:pPr>
  </w:style>
  <w:style w:type="character" w:customStyle="1" w:styleId="s2">
    <w:name w:val="s2"/>
    <w:basedOn w:val="DefaultParagraphFont"/>
    <w:rsid w:val="00D505C0"/>
  </w:style>
  <w:style w:type="paragraph" w:styleId="FootnoteText">
    <w:name w:val="footnote text"/>
    <w:basedOn w:val="Normal"/>
    <w:link w:val="FootnoteTextChar"/>
    <w:uiPriority w:val="99"/>
    <w:semiHidden/>
    <w:unhideWhenUsed/>
    <w:rsid w:val="00F86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61C2"/>
    <w:rPr>
      <w:sz w:val="20"/>
      <w:szCs w:val="20"/>
    </w:rPr>
  </w:style>
  <w:style w:type="character" w:styleId="FootnoteReference">
    <w:name w:val="footnote reference"/>
    <w:basedOn w:val="DefaultParagraphFont"/>
    <w:uiPriority w:val="99"/>
    <w:semiHidden/>
    <w:unhideWhenUsed/>
    <w:rsid w:val="00F861C2"/>
    <w:rPr>
      <w:vertAlign w:val="superscript"/>
    </w:rPr>
  </w:style>
  <w:style w:type="character" w:styleId="Hyperlink">
    <w:name w:val="Hyperlink"/>
    <w:basedOn w:val="DefaultParagraphFont"/>
    <w:uiPriority w:val="99"/>
    <w:unhideWhenUsed/>
    <w:rsid w:val="00F861C2"/>
    <w:rPr>
      <w:color w:val="0563C1" w:themeColor="hyperlink"/>
      <w:u w:val="single"/>
    </w:rPr>
  </w:style>
  <w:style w:type="character" w:styleId="UnresolvedMention">
    <w:name w:val="Unresolved Mention"/>
    <w:basedOn w:val="DefaultParagraphFont"/>
    <w:uiPriority w:val="99"/>
    <w:semiHidden/>
    <w:unhideWhenUsed/>
    <w:rsid w:val="00F861C2"/>
    <w:rPr>
      <w:color w:val="605E5C"/>
      <w:shd w:val="clear" w:color="auto" w:fill="E1DFDD"/>
    </w:rPr>
  </w:style>
  <w:style w:type="paragraph" w:customStyle="1" w:styleId="DocID">
    <w:name w:val="DocID"/>
    <w:basedOn w:val="Footer"/>
    <w:next w:val="Footer"/>
    <w:link w:val="DocIDChar"/>
    <w:rsid w:val="00A53FB7"/>
    <w:pPr>
      <w:tabs>
        <w:tab w:val="clear" w:pos="4680"/>
        <w:tab w:val="clear" w:pos="9360"/>
      </w:tabs>
    </w:pPr>
    <w:rPr>
      <w:rFonts w:ascii="Times New Roman" w:eastAsia="Times New Roman" w:hAnsi="Times New Roman" w:cs="Times New Roman"/>
      <w:sz w:val="16"/>
      <w:szCs w:val="20"/>
    </w:rPr>
  </w:style>
  <w:style w:type="character" w:customStyle="1" w:styleId="DocIDChar">
    <w:name w:val="DocID Char"/>
    <w:basedOn w:val="DefaultParagraphFont"/>
    <w:link w:val="DocID"/>
    <w:rsid w:val="00A53FB7"/>
    <w:rPr>
      <w:rFonts w:ascii="Times New Roman" w:eastAsia="Times New Roman" w:hAnsi="Times New Roman" w:cs="Times New Roman"/>
      <w:sz w:val="16"/>
      <w:szCs w:val="20"/>
      <w:lang w:val="en-US" w:eastAsia="en-US"/>
    </w:rPr>
  </w:style>
  <w:style w:type="paragraph" w:styleId="Revision">
    <w:name w:val="Revision"/>
    <w:hidden/>
    <w:uiPriority w:val="99"/>
    <w:semiHidden/>
    <w:rsid w:val="004558A6"/>
    <w:pPr>
      <w:spacing w:after="0" w:line="240" w:lineRule="auto"/>
    </w:pPr>
  </w:style>
  <w:style w:type="character" w:styleId="CommentReference">
    <w:name w:val="annotation reference"/>
    <w:basedOn w:val="DefaultParagraphFont"/>
    <w:uiPriority w:val="99"/>
    <w:semiHidden/>
    <w:unhideWhenUsed/>
    <w:rsid w:val="00E07775"/>
    <w:rPr>
      <w:sz w:val="16"/>
      <w:szCs w:val="16"/>
    </w:rPr>
  </w:style>
  <w:style w:type="paragraph" w:styleId="CommentText">
    <w:name w:val="annotation text"/>
    <w:basedOn w:val="Normal"/>
    <w:link w:val="CommentTextChar"/>
    <w:uiPriority w:val="99"/>
    <w:unhideWhenUsed/>
    <w:rsid w:val="00E07775"/>
    <w:pPr>
      <w:spacing w:line="240" w:lineRule="auto"/>
    </w:pPr>
    <w:rPr>
      <w:sz w:val="20"/>
      <w:szCs w:val="20"/>
    </w:rPr>
  </w:style>
  <w:style w:type="character" w:customStyle="1" w:styleId="CommentTextChar">
    <w:name w:val="Comment Text Char"/>
    <w:basedOn w:val="DefaultParagraphFont"/>
    <w:link w:val="CommentText"/>
    <w:uiPriority w:val="99"/>
    <w:rsid w:val="00E07775"/>
    <w:rPr>
      <w:sz w:val="20"/>
      <w:szCs w:val="20"/>
    </w:rPr>
  </w:style>
  <w:style w:type="paragraph" w:styleId="CommentSubject">
    <w:name w:val="annotation subject"/>
    <w:basedOn w:val="CommentText"/>
    <w:next w:val="CommentText"/>
    <w:link w:val="CommentSubjectChar"/>
    <w:uiPriority w:val="99"/>
    <w:semiHidden/>
    <w:unhideWhenUsed/>
    <w:rsid w:val="00E07775"/>
    <w:rPr>
      <w:b/>
      <w:bCs/>
    </w:rPr>
  </w:style>
  <w:style w:type="character" w:customStyle="1" w:styleId="CommentSubjectChar">
    <w:name w:val="Comment Subject Char"/>
    <w:basedOn w:val="CommentTextChar"/>
    <w:link w:val="CommentSubject"/>
    <w:uiPriority w:val="99"/>
    <w:semiHidden/>
    <w:rsid w:val="00E077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atingdisordersreview.com/topiramate-may-trigger-eating-disorder-sympto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7</Pages>
  <Words>3053</Words>
  <Characters>15604</Characters>
  <Application>Microsoft Office Word</Application>
  <DocSecurity>0</DocSecurity>
  <Lines>264</Lines>
  <Paragraphs>62</Paragraphs>
  <ScaleCrop>false</ScaleCrop>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Kyle Turk</cp:lastModifiedBy>
  <cp:revision>3</cp:revision>
  <cp:lastPrinted>2022-09-22T15:44:00Z</cp:lastPrinted>
  <dcterms:created xsi:type="dcterms:W3CDTF">2022-09-22T15:43:00Z</dcterms:created>
  <dcterms:modified xsi:type="dcterms:W3CDTF">2022-09-23T14:36:00Z</dcterms:modified>
</cp:coreProperties>
</file>